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B" w:rsidRPr="00BC635C" w:rsidRDefault="00835415" w:rsidP="009E787B">
      <w:pPr>
        <w:rPr>
          <w:rFonts w:asciiTheme="minorHAnsi" w:hAnsiTheme="minorHAnsi" w:cstheme="minorHAnsi"/>
          <w:noProof/>
        </w:rPr>
      </w:pPr>
      <w:r w:rsidRPr="00BC635C">
        <w:rPr>
          <w:rFonts w:asciiTheme="minorHAnsi" w:hAnsiTheme="minorHAnsi" w:cstheme="minorHAnsi"/>
          <w:noProof/>
        </w:rPr>
        <w:drawing>
          <wp:inline distT="0" distB="0" distL="0" distR="0">
            <wp:extent cx="5762625" cy="857250"/>
            <wp:effectExtent l="19050" t="0" r="9525" b="0"/>
            <wp:docPr id="1" name="Picture 1" descr="1 a MEMORANDUM ZA 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a MEMORANDUM ZA NAC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7B" w:rsidRPr="00BC635C" w:rsidRDefault="009E787B" w:rsidP="009E78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5758B" w:rsidRPr="00BC635C" w:rsidRDefault="0045758B" w:rsidP="0045758B">
      <w:pPr>
        <w:rPr>
          <w:rFonts w:asciiTheme="minorHAnsi" w:hAnsiTheme="minorHAnsi" w:cstheme="minorHAnsi"/>
          <w:sz w:val="24"/>
          <w:szCs w:val="24"/>
        </w:rPr>
      </w:pPr>
    </w:p>
    <w:p w:rsidR="0045758B" w:rsidRPr="00BC635C" w:rsidRDefault="0045758B" w:rsidP="0045758B">
      <w:pPr>
        <w:rPr>
          <w:rFonts w:asciiTheme="minorHAnsi" w:hAnsiTheme="minorHAnsi" w:cstheme="minorHAnsi"/>
          <w:sz w:val="24"/>
          <w:szCs w:val="24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BC635C">
        <w:rPr>
          <w:rFonts w:asciiTheme="minorHAnsi" w:hAnsiTheme="minorHAnsi" w:cstheme="minorHAnsi"/>
          <w:b/>
          <w:sz w:val="28"/>
          <w:szCs w:val="28"/>
          <w:lang w:val="hr-HR"/>
        </w:rPr>
        <w:t>ПЛАН ИМПЛЕМЕНТАЦИЈЕ</w:t>
      </w: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BC635C">
        <w:rPr>
          <w:rFonts w:asciiTheme="minorHAnsi" w:hAnsiTheme="minorHAnsi" w:cstheme="minorHAnsi"/>
          <w:b/>
          <w:sz w:val="28"/>
          <w:szCs w:val="28"/>
          <w:lang w:val="hr-HR"/>
        </w:rPr>
        <w:t>ИНТЕГРАЛНЕ СТРАТЕГИЈЕ РАЗВОЈА ГРАДА ПРИЈЕДОРА (2014</w:t>
      </w:r>
      <w:r w:rsidR="002604E4">
        <w:rPr>
          <w:rFonts w:asciiTheme="minorHAnsi" w:hAnsiTheme="minorHAnsi" w:cstheme="minorHAnsi"/>
          <w:b/>
          <w:sz w:val="28"/>
          <w:szCs w:val="28"/>
          <w:lang w:val="sr-Cyrl-RS"/>
        </w:rPr>
        <w:t>.</w:t>
      </w:r>
      <w:r w:rsidRPr="00BC635C">
        <w:rPr>
          <w:rFonts w:asciiTheme="minorHAnsi" w:hAnsiTheme="minorHAnsi" w:cstheme="minorHAnsi"/>
          <w:b/>
          <w:sz w:val="28"/>
          <w:szCs w:val="28"/>
          <w:lang w:val="hr-HR"/>
        </w:rPr>
        <w:t xml:space="preserve"> - 2024.)</w:t>
      </w:r>
    </w:p>
    <w:p w:rsidR="00BC635C" w:rsidRPr="00BC635C" w:rsidRDefault="00732F12" w:rsidP="00BC635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ЗА </w:t>
      </w:r>
      <w:r w:rsidR="00147EE4">
        <w:rPr>
          <w:rFonts w:asciiTheme="minorHAnsi" w:hAnsiTheme="minorHAnsi" w:cstheme="minorHAnsi"/>
          <w:b/>
          <w:sz w:val="28"/>
          <w:szCs w:val="28"/>
          <w:lang w:val="hr-HR"/>
        </w:rPr>
        <w:t>2023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. ГОДИНУ</w:t>
      </w: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color w:val="FF0000"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lang w:val="hr-HR"/>
        </w:rPr>
      </w:pPr>
    </w:p>
    <w:p w:rsidR="00BC635C" w:rsidRPr="00BC635C" w:rsidRDefault="00BC635C" w:rsidP="00BC635C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C635C" w:rsidRPr="00BC635C" w:rsidRDefault="00BC635C" w:rsidP="00BC63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C635C">
        <w:rPr>
          <w:rFonts w:asciiTheme="minorHAnsi" w:hAnsiTheme="minorHAnsi" w:cstheme="minorHAnsi"/>
          <w:b/>
          <w:sz w:val="24"/>
          <w:szCs w:val="24"/>
        </w:rPr>
        <w:t>Приједор</w:t>
      </w:r>
      <w:proofErr w:type="spellEnd"/>
      <w:r w:rsidRPr="00BC635C">
        <w:rPr>
          <w:rFonts w:asciiTheme="minorHAnsi" w:hAnsiTheme="minorHAnsi" w:cstheme="minorHAnsi"/>
          <w:b/>
          <w:sz w:val="24"/>
          <w:szCs w:val="24"/>
        </w:rPr>
        <w:t>,</w:t>
      </w:r>
      <w:r w:rsidRPr="00BC635C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proofErr w:type="gramStart"/>
      <w:r w:rsidR="00994F39">
        <w:rPr>
          <w:rFonts w:asciiTheme="minorHAnsi" w:hAnsiTheme="minorHAnsi" w:cstheme="minorHAnsi"/>
          <w:b/>
          <w:sz w:val="24"/>
          <w:szCs w:val="24"/>
          <w:lang w:val="sr-Cyrl-RS"/>
        </w:rPr>
        <w:t>фебруар</w:t>
      </w:r>
      <w:r w:rsidRPr="00BC635C">
        <w:rPr>
          <w:rFonts w:asciiTheme="minorHAnsi" w:hAnsiTheme="minorHAnsi" w:cstheme="minorHAnsi"/>
          <w:b/>
          <w:sz w:val="24"/>
          <w:szCs w:val="24"/>
        </w:rPr>
        <w:t xml:space="preserve">  20</w:t>
      </w:r>
      <w:r w:rsidR="00732F12">
        <w:rPr>
          <w:rFonts w:asciiTheme="minorHAnsi" w:hAnsiTheme="minorHAnsi" w:cstheme="minorHAnsi"/>
          <w:b/>
          <w:sz w:val="24"/>
          <w:szCs w:val="24"/>
          <w:lang w:val="hr-HR"/>
        </w:rPr>
        <w:t>23</w:t>
      </w:r>
      <w:proofErr w:type="gramEnd"/>
      <w:r w:rsidRPr="00BC635C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BC635C">
        <w:rPr>
          <w:rFonts w:asciiTheme="minorHAnsi" w:hAnsiTheme="minorHAnsi" w:cstheme="minorHAnsi"/>
          <w:b/>
          <w:sz w:val="24"/>
          <w:szCs w:val="24"/>
        </w:rPr>
        <w:t>године</w:t>
      </w:r>
      <w:proofErr w:type="spellEnd"/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  <w:b/>
        </w:rPr>
      </w:pPr>
      <w:r w:rsidRPr="0090499F">
        <w:rPr>
          <w:rFonts w:asciiTheme="minorHAnsi" w:hAnsiTheme="minorHAnsi" w:cstheme="minorHAnsi"/>
          <w:b/>
        </w:rPr>
        <w:t>САДРЖАЈ</w:t>
      </w:r>
    </w:p>
    <w:p w:rsidR="00BC635C" w:rsidRPr="0090499F" w:rsidRDefault="00BC635C" w:rsidP="00BC635C">
      <w:pPr>
        <w:pStyle w:val="NoSpacing"/>
        <w:rPr>
          <w:rFonts w:asciiTheme="minorHAnsi" w:hAnsiTheme="minorHAnsi" w:cstheme="minorHAnsi"/>
        </w:rPr>
      </w:pPr>
    </w:p>
    <w:p w:rsidR="00BC635C" w:rsidRPr="0090499F" w:rsidRDefault="00BC635C" w:rsidP="00BC635C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Увод………………...………………………………………………......................................………….………3</w:t>
      </w:r>
    </w:p>
    <w:p w:rsidR="00BC635C" w:rsidRPr="0090499F" w:rsidRDefault="00BC635C" w:rsidP="00BC635C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Стратешки циљеви и приоритети……………………………………………………</w:t>
      </w:r>
      <w:r w:rsidR="0090499F">
        <w:rPr>
          <w:rFonts w:asciiTheme="minorHAnsi" w:hAnsiTheme="minorHAnsi" w:cstheme="minorHAnsi"/>
          <w:sz w:val="24"/>
          <w:szCs w:val="24"/>
          <w:lang w:val="sr-Cyrl-RS"/>
        </w:rPr>
        <w:t>...................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90499F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....4</w:t>
      </w:r>
    </w:p>
    <w:p w:rsidR="00BC635C" w:rsidRPr="0090499F" w:rsidRDefault="00BC635C" w:rsidP="00BC635C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Визија……………………</w:t>
      </w:r>
      <w:r w:rsidR="00904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  <w:r w:rsidRPr="0090499F">
        <w:rPr>
          <w:rFonts w:asciiTheme="minorHAnsi" w:hAnsiTheme="minorHAnsi" w:cstheme="minorHAnsi"/>
          <w:sz w:val="24"/>
          <w:szCs w:val="24"/>
        </w:rPr>
        <w:t>….4</w:t>
      </w:r>
    </w:p>
    <w:p w:rsidR="00BC635C" w:rsidRPr="0090499F" w:rsidRDefault="00932ACE" w:rsidP="00BC635C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Ст</w:t>
      </w:r>
      <w:r w:rsidR="00BC635C" w:rsidRPr="0090499F">
        <w:rPr>
          <w:rFonts w:asciiTheme="minorHAnsi" w:hAnsiTheme="minorHAnsi" w:cstheme="minorHAnsi"/>
          <w:sz w:val="24"/>
          <w:szCs w:val="24"/>
        </w:rPr>
        <w:t>р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BC635C" w:rsidRPr="0090499F">
        <w:rPr>
          <w:rFonts w:asciiTheme="minorHAnsi" w:hAnsiTheme="minorHAnsi" w:cstheme="minorHAnsi"/>
          <w:sz w:val="24"/>
          <w:szCs w:val="24"/>
        </w:rPr>
        <w:t>тешки</w:t>
      </w:r>
      <w:r w:rsidR="00BC635C" w:rsidRPr="0090499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C635C" w:rsidRPr="0090499F">
        <w:rPr>
          <w:rFonts w:asciiTheme="minorHAnsi" w:hAnsiTheme="minorHAnsi" w:cstheme="minorHAnsi"/>
          <w:sz w:val="24"/>
          <w:szCs w:val="24"/>
        </w:rPr>
        <w:t>циљеви………………………...…………………</w:t>
      </w:r>
      <w:r w:rsidR="00BC635C" w:rsidRPr="0090499F">
        <w:rPr>
          <w:rFonts w:asciiTheme="minorHAnsi" w:hAnsiTheme="minorHAnsi" w:cstheme="minorHAnsi"/>
          <w:sz w:val="24"/>
          <w:szCs w:val="24"/>
          <w:lang w:val="sr-Cyrl-RS"/>
        </w:rPr>
        <w:t>................</w:t>
      </w:r>
      <w:r w:rsidR="0090499F">
        <w:rPr>
          <w:rFonts w:asciiTheme="minorHAnsi" w:hAnsiTheme="minorHAnsi" w:cstheme="minorHAnsi"/>
          <w:sz w:val="24"/>
          <w:szCs w:val="24"/>
          <w:lang w:val="sr-Cyrl-RS"/>
        </w:rPr>
        <w:t>........................</w:t>
      </w:r>
      <w:r w:rsidR="00BC635C" w:rsidRPr="0090499F">
        <w:rPr>
          <w:rFonts w:asciiTheme="minorHAnsi" w:hAnsiTheme="minorHAnsi" w:cstheme="minorHAnsi"/>
          <w:sz w:val="24"/>
          <w:szCs w:val="24"/>
          <w:lang w:val="sr-Cyrl-RS"/>
        </w:rPr>
        <w:t>.....4</w:t>
      </w:r>
    </w:p>
    <w:p w:rsidR="00BC635C" w:rsidRPr="0090499F" w:rsidRDefault="00BC635C" w:rsidP="00BC635C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Секторски циљеви……………………………………………………………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.............................</w:t>
      </w:r>
      <w:r w:rsidRPr="0090499F">
        <w:rPr>
          <w:rFonts w:asciiTheme="minorHAnsi" w:hAnsiTheme="minorHAnsi" w:cstheme="minorHAnsi"/>
          <w:sz w:val="24"/>
          <w:szCs w:val="24"/>
        </w:rPr>
        <w:t>4</w:t>
      </w:r>
    </w:p>
    <w:p w:rsidR="00BC635C" w:rsidRPr="0090499F" w:rsidRDefault="00BC635C" w:rsidP="00BC635C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Кључни планирани приоритети и фокуси за посматрани период………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........</w:t>
      </w:r>
      <w:r w:rsidRPr="0090499F">
        <w:rPr>
          <w:rFonts w:asciiTheme="minorHAnsi" w:hAnsiTheme="minorHAnsi" w:cstheme="minorHAnsi"/>
          <w:sz w:val="24"/>
          <w:szCs w:val="24"/>
        </w:rPr>
        <w:t>5</w:t>
      </w:r>
    </w:p>
    <w:p w:rsidR="00BC635C" w:rsidRPr="0090499F" w:rsidRDefault="00BC635C" w:rsidP="00BC635C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0499F">
        <w:rPr>
          <w:rFonts w:asciiTheme="minorHAnsi" w:hAnsiTheme="minorHAnsi" w:cstheme="minorHAnsi"/>
          <w:sz w:val="24"/>
          <w:szCs w:val="24"/>
        </w:rPr>
        <w:t>Преглед Плана имплементације Интегралне стратегије развоја града Приј</w:t>
      </w:r>
      <w:r w:rsidR="00147EE4" w:rsidRPr="0090499F">
        <w:rPr>
          <w:rFonts w:asciiTheme="minorHAnsi" w:hAnsiTheme="minorHAnsi" w:cstheme="minorHAnsi"/>
          <w:sz w:val="24"/>
          <w:szCs w:val="24"/>
        </w:rPr>
        <w:t>едора 2014</w:t>
      </w:r>
      <w:r w:rsidR="002604E4" w:rsidRPr="0090499F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732F12" w:rsidRPr="0090499F">
        <w:rPr>
          <w:rFonts w:asciiTheme="minorHAnsi" w:hAnsiTheme="minorHAnsi" w:cstheme="minorHAnsi"/>
          <w:sz w:val="24"/>
          <w:szCs w:val="24"/>
        </w:rPr>
        <w:t xml:space="preserve">-2024. за </w:t>
      </w:r>
      <w:r w:rsidR="00147EE4" w:rsidRPr="0090499F">
        <w:rPr>
          <w:rFonts w:asciiTheme="minorHAnsi" w:hAnsiTheme="minorHAnsi" w:cstheme="minorHAnsi"/>
          <w:sz w:val="24"/>
          <w:szCs w:val="24"/>
        </w:rPr>
        <w:t>2023</w:t>
      </w:r>
      <w:r w:rsidR="00732F12" w:rsidRPr="0090499F">
        <w:rPr>
          <w:rFonts w:asciiTheme="minorHAnsi" w:hAnsiTheme="minorHAnsi" w:cstheme="minorHAnsi"/>
          <w:sz w:val="24"/>
          <w:szCs w:val="24"/>
          <w:lang w:val="sr-Cyrl-RS"/>
        </w:rPr>
        <w:t>. годину..........</w:t>
      </w:r>
      <w:r w:rsidR="002604E4" w:rsidRPr="0090499F">
        <w:rPr>
          <w:rFonts w:asciiTheme="minorHAnsi" w:hAnsiTheme="minorHAnsi" w:cstheme="minorHAnsi"/>
          <w:sz w:val="24"/>
          <w:szCs w:val="24"/>
        </w:rPr>
        <w:t>…………………..</w:t>
      </w:r>
      <w:r w:rsidRPr="0090499F">
        <w:rPr>
          <w:rFonts w:asciiTheme="minorHAnsi" w:hAnsiTheme="minorHAnsi" w:cstheme="minorHAnsi"/>
          <w:sz w:val="24"/>
          <w:szCs w:val="24"/>
        </w:rPr>
        <w:t>…………………</w:t>
      </w:r>
      <w:r w:rsidR="002604E4" w:rsidRPr="0090499F">
        <w:rPr>
          <w:rFonts w:asciiTheme="minorHAnsi" w:hAnsiTheme="minorHAnsi" w:cstheme="minorHAnsi"/>
          <w:sz w:val="24"/>
          <w:szCs w:val="24"/>
          <w:lang w:val="sr-Cyrl-RS"/>
        </w:rPr>
        <w:t>....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>...................................</w:t>
      </w:r>
      <w:r w:rsidRPr="0090499F">
        <w:rPr>
          <w:rFonts w:asciiTheme="minorHAnsi" w:hAnsiTheme="minorHAnsi" w:cstheme="minorHAnsi"/>
          <w:sz w:val="24"/>
          <w:szCs w:val="24"/>
        </w:rPr>
        <w:t>6</w:t>
      </w:r>
    </w:p>
    <w:p w:rsidR="00BC635C" w:rsidRPr="0090499F" w:rsidRDefault="00BC635C" w:rsidP="00BC635C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90499F">
        <w:rPr>
          <w:rFonts w:asciiTheme="minorHAnsi" w:hAnsiTheme="minorHAnsi" w:cstheme="minorHAnsi"/>
          <w:sz w:val="24"/>
          <w:szCs w:val="24"/>
          <w:lang w:val="hr-HR"/>
        </w:rPr>
        <w:t xml:space="preserve">Преглед Плана  имплементације </w:t>
      </w:r>
      <w:r w:rsidRPr="0090499F">
        <w:rPr>
          <w:rFonts w:asciiTheme="minorHAnsi" w:hAnsiTheme="minorHAnsi" w:cstheme="minorHAnsi"/>
          <w:sz w:val="24"/>
          <w:szCs w:val="24"/>
          <w:lang w:val="sr-Cyrl-RS"/>
        </w:rPr>
        <w:t xml:space="preserve">Интегралне </w:t>
      </w:r>
      <w:r w:rsidRPr="0090499F">
        <w:rPr>
          <w:rFonts w:asciiTheme="minorHAnsi" w:hAnsiTheme="minorHAnsi" w:cstheme="minorHAnsi"/>
          <w:sz w:val="24"/>
          <w:szCs w:val="24"/>
        </w:rPr>
        <w:t>с</w:t>
      </w:r>
      <w:r w:rsidRPr="0090499F">
        <w:rPr>
          <w:rFonts w:asciiTheme="minorHAnsi" w:hAnsiTheme="minorHAnsi" w:cstheme="minorHAnsi"/>
          <w:sz w:val="24"/>
          <w:szCs w:val="24"/>
          <w:lang w:val="hr-HR"/>
        </w:rPr>
        <w:t>тратегије р</w:t>
      </w:r>
      <w:r w:rsidR="003C623F">
        <w:rPr>
          <w:rFonts w:asciiTheme="minorHAnsi" w:hAnsiTheme="minorHAnsi" w:cstheme="minorHAnsi"/>
          <w:sz w:val="24"/>
          <w:szCs w:val="24"/>
          <w:lang w:val="hr-HR"/>
        </w:rPr>
        <w:t>азвоја града Приједора  за  2023</w:t>
      </w:r>
      <w:r w:rsidRPr="0090499F">
        <w:rPr>
          <w:rFonts w:asciiTheme="minorHAnsi" w:hAnsiTheme="minorHAnsi" w:cstheme="minorHAnsi"/>
          <w:sz w:val="24"/>
          <w:szCs w:val="24"/>
          <w:lang w:val="hr-HR"/>
        </w:rPr>
        <w:t>. годину......................................................................</w:t>
      </w:r>
      <w:r w:rsidR="007F205E" w:rsidRPr="0090499F">
        <w:rPr>
          <w:rFonts w:asciiTheme="minorHAnsi" w:hAnsiTheme="minorHAnsi" w:cstheme="minorHAnsi"/>
          <w:sz w:val="24"/>
          <w:szCs w:val="24"/>
          <w:lang w:val="hr-HR"/>
        </w:rPr>
        <w:t>...................6</w:t>
      </w: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90499F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Default="00BC635C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Default="0090499F" w:rsidP="00BC635C">
      <w:pPr>
        <w:rPr>
          <w:rFonts w:asciiTheme="minorHAnsi" w:hAnsiTheme="minorHAnsi" w:cstheme="minorHAnsi"/>
        </w:rPr>
      </w:pPr>
    </w:p>
    <w:p w:rsidR="0090499F" w:rsidRPr="00BC635C" w:rsidRDefault="0090499F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BC635C" w:rsidRPr="00BC635C" w:rsidRDefault="00BC635C" w:rsidP="00BC635C">
      <w:pPr>
        <w:rPr>
          <w:rFonts w:asciiTheme="minorHAnsi" w:hAnsiTheme="minorHAnsi" w:cstheme="minorHAnsi"/>
        </w:rPr>
      </w:pPr>
    </w:p>
    <w:p w:rsidR="00E4484B" w:rsidRDefault="00E4484B" w:rsidP="00BC635C">
      <w:pPr>
        <w:rPr>
          <w:rFonts w:asciiTheme="minorHAnsi" w:hAnsiTheme="minorHAnsi" w:cstheme="minorHAnsi"/>
        </w:rPr>
        <w:sectPr w:rsidR="00E4484B" w:rsidSect="00E4484B">
          <w:footerReference w:type="default" r:id="rId9"/>
          <w:pgSz w:w="11906" w:h="16838"/>
          <w:pgMar w:top="1417" w:right="1134" w:bottom="1417" w:left="1701" w:header="737" w:footer="567" w:gutter="0"/>
          <w:pgNumType w:start="1"/>
          <w:cols w:space="708"/>
          <w:titlePg/>
          <w:docGrid w:linePitch="360"/>
        </w:sectPr>
      </w:pPr>
    </w:p>
    <w:p w:rsidR="00E4484B" w:rsidRDefault="00E4484B" w:rsidP="00BC635C">
      <w:pPr>
        <w:rPr>
          <w:rFonts w:asciiTheme="minorHAnsi" w:hAnsiTheme="minorHAnsi" w:cstheme="minorHAnsi"/>
        </w:rPr>
        <w:sectPr w:rsidR="00E4484B" w:rsidSect="00E4484B">
          <w:footerReference w:type="first" r:id="rId10"/>
          <w:type w:val="continuous"/>
          <w:pgSz w:w="11906" w:h="16838"/>
          <w:pgMar w:top="1417" w:right="1134" w:bottom="1417" w:left="1701" w:header="737" w:footer="567" w:gutter="0"/>
          <w:cols w:space="708"/>
          <w:docGrid w:linePitch="360"/>
        </w:sectPr>
      </w:pPr>
    </w:p>
    <w:p w:rsidR="00BC635C" w:rsidRPr="00732F12" w:rsidRDefault="00BC635C" w:rsidP="00BC635C">
      <w:pPr>
        <w:rPr>
          <w:rFonts w:asciiTheme="minorHAnsi" w:hAnsiTheme="minorHAnsi" w:cstheme="minorHAnsi"/>
        </w:rPr>
      </w:pPr>
    </w:p>
    <w:p w:rsidR="00BC635C" w:rsidRPr="00732F12" w:rsidRDefault="00BC635C" w:rsidP="00BC635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lastRenderedPageBreak/>
        <w:t>УВОД</w:t>
      </w:r>
    </w:p>
    <w:p w:rsidR="00BC635C" w:rsidRPr="00732F12" w:rsidRDefault="00BC635C" w:rsidP="00BC635C">
      <w:pPr>
        <w:jc w:val="both"/>
        <w:rPr>
          <w:rFonts w:asciiTheme="minorHAnsi" w:hAnsiTheme="minorHAnsi" w:cstheme="minorHAnsi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>Стратегију интегралног развоја града Приједора за период 2014</w:t>
      </w:r>
      <w:r w:rsidR="00147EE4" w:rsidRPr="00732F12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-2024. године израдио је Развојни тим града Приједора у периоду од октобра 2012.</w:t>
      </w:r>
      <w:r w:rsidR="00932ACE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до децембра  2013. године, у оквиру Пројекта интегралног локалног развоја (ИЛДП), који представља заједничку иницијативу Владе </w:t>
      </w:r>
      <w:r w:rsidRPr="00732F12">
        <w:rPr>
          <w:rFonts w:asciiTheme="minorHAnsi" w:hAnsiTheme="minorHAnsi" w:cstheme="minorHAnsi"/>
          <w:sz w:val="24"/>
          <w:szCs w:val="24"/>
          <w:lang w:val="bs-Latn-BA"/>
        </w:rPr>
        <w:t>Швајцарске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и Развојног програма Уједињених нација (УНДП). Стратегија развоја града Приједора усвојена је у децембру 2013. године на </w:t>
      </w:r>
      <w:r w:rsidR="00147EE4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       </w:t>
      </w:r>
      <w:r w:rsidR="00732F12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 </w:t>
      </w:r>
      <w:r w:rsidR="00147EE4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 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2. ванредној сједници Скупштине града Приједор, одржаној дана 26.12.2013. године. 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Као оперативни инструмент за реализацију Стратегије, Град припрема трогодишњи План имплементације (1+2) сваке године од усвајања стратегије.</w:t>
      </w:r>
      <w:r w:rsidR="00732F12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Међутим, преостала је само још једна година </w:t>
      </w:r>
      <w:r w:rsidR="00994F39" w:rsidRPr="00732F12">
        <w:rPr>
          <w:rFonts w:asciiTheme="minorHAnsi" w:hAnsiTheme="minorHAnsi" w:cstheme="minorHAnsi"/>
          <w:sz w:val="24"/>
          <w:szCs w:val="24"/>
          <w:lang w:val="sr-Cyrl-RS"/>
        </w:rPr>
        <w:t>имплементације Стр</w:t>
      </w:r>
      <w:r w:rsidR="00732F12" w:rsidRPr="00732F12">
        <w:rPr>
          <w:rFonts w:asciiTheme="minorHAnsi" w:hAnsiTheme="minorHAnsi" w:cstheme="minorHAnsi"/>
          <w:sz w:val="24"/>
          <w:szCs w:val="24"/>
          <w:lang w:val="sr-Cyrl-RS"/>
        </w:rPr>
        <w:t>атегије, па се припрема једно</w:t>
      </w:r>
      <w:r w:rsidR="00994F39" w:rsidRPr="00732F12">
        <w:rPr>
          <w:rFonts w:asciiTheme="minorHAnsi" w:hAnsiTheme="minorHAnsi" w:cstheme="minorHAnsi"/>
          <w:sz w:val="24"/>
          <w:szCs w:val="24"/>
          <w:lang w:val="sr-Cyrl-RS"/>
        </w:rPr>
        <w:t>годишњ</w:t>
      </w:r>
      <w:r w:rsidR="00732F12" w:rsidRPr="00732F12">
        <w:rPr>
          <w:rFonts w:asciiTheme="minorHAnsi" w:hAnsiTheme="minorHAnsi" w:cstheme="minorHAnsi"/>
          <w:sz w:val="24"/>
          <w:szCs w:val="24"/>
          <w:lang w:val="sr-Cyrl-RS"/>
        </w:rPr>
        <w:t>и План имплементације за 2023. годину</w:t>
      </w:r>
      <w:r w:rsidR="00994F39" w:rsidRPr="00732F12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>План имплементације се  изра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ђ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ује по МиПРО методологији, која је такође успотављена у оквиру Пројекта интегралног локалног развоја (ИЛДП). Иако је нови начин планирања имплементације, по МиПРО методологији, био новина, сви учесници планирања и имплементације су у претходном периоду успјели савладати процес и увести нови приступ у планирању, праћењу и вредновању имплементације Стратегије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,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ш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то је само по себи значај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н 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резултат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.   </w:t>
      </w:r>
    </w:p>
    <w:p w:rsidR="00BC635C" w:rsidRPr="00732F12" w:rsidRDefault="00732F12" w:rsidP="00BC635C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Носилац израде </w:t>
      </w:r>
      <w:r w:rsidR="00994F39" w:rsidRPr="00732F12">
        <w:rPr>
          <w:rFonts w:asciiTheme="minorHAnsi" w:hAnsiTheme="minorHAnsi" w:cstheme="minorHAnsi"/>
          <w:sz w:val="24"/>
          <w:szCs w:val="24"/>
          <w:lang w:val="hr-HR"/>
        </w:rPr>
        <w:t>годишњег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Пл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ана имплементације за 2023. годину,</w:t>
      </w:r>
      <w:r w:rsidR="00D60980"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као и </w:t>
      </w:r>
      <w:r w:rsidR="00D60980" w:rsidRPr="00732F12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>звјештаја</w:t>
      </w:r>
      <w:r w:rsidR="00D60980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о оств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>арењу Плана имплементације за претходну годину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је Одсјек за стратешко планирање, управљање пројектима и развојем. План имплементације је припремљен у сарадњи са представницима свих унутрашњих организационих јединица Града, као и другим </w:t>
      </w:r>
      <w:r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47EE4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( екстерним ) 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>субјектима који су носиоци имплементације појединих пројеката у оквиру  Интегралне стартегије развоја града Приједора 2014</w:t>
      </w:r>
      <w:r w:rsidR="002604E4" w:rsidRPr="00732F12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>-2024.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>План имплементације се односи на имплементацију стратешких, односно, секторских, пр</w:t>
      </w:r>
      <w:r w:rsidR="00732F12" w:rsidRPr="00732F12">
        <w:rPr>
          <w:rFonts w:asciiTheme="minorHAnsi" w:hAnsiTheme="minorHAnsi" w:cstheme="minorHAnsi"/>
          <w:sz w:val="24"/>
          <w:szCs w:val="24"/>
          <w:lang w:val="hr-HR"/>
        </w:rPr>
        <w:t>иоритетних пројеката у 2023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. години, који се, по МиПРО методологији, планирају уз консултације са свим битним актерима у заједници у свим фазама имплементац</w:t>
      </w:r>
      <w:r w:rsidR="00D60980" w:rsidRPr="00732F12">
        <w:rPr>
          <w:rFonts w:asciiTheme="minorHAnsi" w:hAnsiTheme="minorHAnsi" w:cstheme="minorHAnsi"/>
          <w:sz w:val="24"/>
          <w:szCs w:val="24"/>
          <w:lang w:val="hr-HR"/>
        </w:rPr>
        <w:t>ије С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тратегије. </w:t>
      </w:r>
    </w:p>
    <w:p w:rsidR="00BC635C" w:rsidRPr="00732F12" w:rsidRDefault="00732F12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Приликом израде </w:t>
      </w:r>
      <w:r w:rsidR="00BC635C" w:rsidRPr="00732F12">
        <w:rPr>
          <w:rFonts w:asciiTheme="minorHAnsi" w:hAnsiTheme="minorHAnsi" w:cstheme="minorHAnsi"/>
          <w:sz w:val="24"/>
          <w:szCs w:val="24"/>
          <w:lang w:val="hr-HR"/>
        </w:rPr>
        <w:t>годишњег Плана имплементације водило се рачуна о сљедећем:</w:t>
      </w:r>
    </w:p>
    <w:p w:rsidR="00576B2A" w:rsidRPr="00732F12" w:rsidRDefault="00BC635C" w:rsidP="00576B2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b w:val="0"/>
          <w:lang w:val="hr-HR"/>
        </w:rPr>
        <w:t>да је План имплементације усклађен са плановима рада и буџетима</w:t>
      </w:r>
    </w:p>
    <w:p w:rsidR="00BC635C" w:rsidRPr="00732F12" w:rsidRDefault="00BC635C" w:rsidP="00576B2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Одјељења и свих других актера који учествују у имплементацији пројеката из Стратегије</w:t>
      </w:r>
      <w:r w:rsidR="00732F12" w:rsidRPr="00732F12">
        <w:rPr>
          <w:rFonts w:asciiTheme="minorHAnsi" w:hAnsiTheme="minorHAnsi" w:cstheme="minorHAnsi"/>
          <w:sz w:val="24"/>
          <w:szCs w:val="24"/>
          <w:lang w:val="sr-Cyrl-RS"/>
        </w:rPr>
        <w:t xml:space="preserve"> развоја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, односно да </w:t>
      </w:r>
      <w:r w:rsidR="0081670A"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је у складу с ППВИ процедуром ( 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>процедура планирања, праћења, вредновања и извјештавања о раду Градске управе),</w:t>
      </w:r>
    </w:p>
    <w:p w:rsidR="00576B2A" w:rsidRPr="00732F12" w:rsidRDefault="00BC635C" w:rsidP="00576B2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b w:val="0"/>
          <w:lang w:val="hr-HR"/>
        </w:rPr>
        <w:t>да се настави имплементација већ започетих вишегодишњих пројеката, као и</w:t>
      </w:r>
    </w:p>
    <w:p w:rsidR="00BC635C" w:rsidRPr="00732F12" w:rsidRDefault="00BC635C" w:rsidP="00576B2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мјера које се понављају из године у годину,</w:t>
      </w:r>
    </w:p>
    <w:p w:rsidR="00576B2A" w:rsidRPr="00732F12" w:rsidRDefault="00BC635C" w:rsidP="00576B2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732F12">
        <w:rPr>
          <w:rFonts w:asciiTheme="minorHAnsi" w:hAnsiTheme="minorHAnsi" w:cstheme="minorHAnsi"/>
          <w:b w:val="0"/>
          <w:lang w:val="sr-Cyrl-CS"/>
        </w:rPr>
        <w:t>да се</w:t>
      </w:r>
      <w:r w:rsidRPr="00732F12">
        <w:rPr>
          <w:rFonts w:asciiTheme="minorHAnsi" w:hAnsiTheme="minorHAnsi" w:cstheme="minorHAnsi"/>
          <w:b w:val="0"/>
          <w:lang w:val="sr-Latn-RS"/>
        </w:rPr>
        <w:t xml:space="preserve"> </w:t>
      </w:r>
      <w:r w:rsidRPr="00732F12">
        <w:rPr>
          <w:rFonts w:asciiTheme="minorHAnsi" w:hAnsiTheme="minorHAnsi" w:cstheme="minorHAnsi"/>
          <w:b w:val="0"/>
          <w:lang w:val="sr-Cyrl-CS"/>
        </w:rPr>
        <w:t xml:space="preserve">планира  почетак реализације пројеката </w:t>
      </w:r>
      <w:r w:rsidRPr="00732F12">
        <w:rPr>
          <w:rFonts w:asciiTheme="minorHAnsi" w:hAnsiTheme="minorHAnsi" w:cstheme="minorHAnsi"/>
          <w:b w:val="0"/>
          <w:lang w:val="sr-Latn-RS"/>
        </w:rPr>
        <w:t>чија је реализација планирана</w:t>
      </w:r>
    </w:p>
    <w:p w:rsidR="00BC635C" w:rsidRPr="00732F12" w:rsidRDefault="00147EE4" w:rsidP="00576B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F12">
        <w:rPr>
          <w:rFonts w:asciiTheme="minorHAnsi" w:hAnsiTheme="minorHAnsi" w:cstheme="minorHAnsi"/>
          <w:sz w:val="24"/>
          <w:szCs w:val="24"/>
          <w:lang w:val="sr-Latn-RS"/>
        </w:rPr>
        <w:t xml:space="preserve"> у </w:t>
      </w:r>
      <w:r w:rsidR="00732F12" w:rsidRPr="00732F12">
        <w:rPr>
          <w:rFonts w:asciiTheme="minorHAnsi" w:hAnsiTheme="minorHAnsi" w:cstheme="minorHAnsi"/>
          <w:sz w:val="24"/>
          <w:szCs w:val="24"/>
          <w:lang w:val="sr-Cyrl-CS"/>
        </w:rPr>
        <w:t>2022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="00BC635C" w:rsidRPr="00732F12">
        <w:rPr>
          <w:rFonts w:asciiTheme="minorHAnsi" w:hAnsiTheme="minorHAnsi" w:cstheme="minorHAnsi"/>
          <w:sz w:val="24"/>
          <w:szCs w:val="24"/>
          <w:lang w:val="sr-Latn-RS"/>
        </w:rPr>
        <w:t>г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>один</w:t>
      </w:r>
      <w:r w:rsidRPr="00732F12">
        <w:rPr>
          <w:rFonts w:asciiTheme="minorHAnsi" w:hAnsiTheme="minorHAnsi" w:cstheme="minorHAnsi"/>
          <w:sz w:val="24"/>
          <w:szCs w:val="24"/>
          <w:lang w:val="sr-Latn-RS"/>
        </w:rPr>
        <w:t>и</w:t>
      </w:r>
      <w:r w:rsidR="002B449D" w:rsidRPr="00732F12">
        <w:rPr>
          <w:rFonts w:asciiTheme="minorHAnsi" w:hAnsiTheme="minorHAnsi" w:cstheme="minorHAnsi"/>
          <w:sz w:val="24"/>
          <w:szCs w:val="24"/>
          <w:lang w:val="sr-Latn-RS"/>
        </w:rPr>
        <w:t>, па је пролонгирана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C635C" w:rsidRPr="00732F12">
        <w:rPr>
          <w:rFonts w:asciiTheme="minorHAnsi" w:hAnsiTheme="minorHAnsi" w:cstheme="minorHAnsi"/>
          <w:sz w:val="24"/>
          <w:szCs w:val="24"/>
          <w:lang w:val="sr-Latn-RS"/>
        </w:rPr>
        <w:t>з</w:t>
      </w:r>
      <w:r w:rsidR="00732F12" w:rsidRPr="00732F12">
        <w:rPr>
          <w:rFonts w:asciiTheme="minorHAnsi" w:hAnsiTheme="minorHAnsi" w:cstheme="minorHAnsi"/>
          <w:sz w:val="24"/>
          <w:szCs w:val="24"/>
          <w:lang w:val="sr-Cyrl-CS"/>
        </w:rPr>
        <w:t>а 2023</w:t>
      </w:r>
      <w:r w:rsidRPr="00732F12">
        <w:rPr>
          <w:rFonts w:asciiTheme="minorHAnsi" w:hAnsiTheme="minorHAnsi" w:cstheme="minorHAnsi"/>
          <w:sz w:val="24"/>
          <w:szCs w:val="24"/>
          <w:lang w:val="sr-Cyrl-CS"/>
        </w:rPr>
        <w:t>. годину, а за које се</w:t>
      </w:r>
      <w:r w:rsidR="00932ACE" w:rsidRPr="00732F12">
        <w:rPr>
          <w:rFonts w:asciiTheme="minorHAnsi" w:hAnsiTheme="minorHAnsi" w:cstheme="minorHAnsi"/>
          <w:sz w:val="24"/>
          <w:szCs w:val="24"/>
          <w:lang w:val="sr-Cyrl-CS"/>
        </w:rPr>
        <w:t xml:space="preserve"> очекује да ће бити обезб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>јеђена  средства</w:t>
      </w:r>
      <w:r w:rsidR="004C1D4B" w:rsidRPr="00732F12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732F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>из буџет</w:t>
      </w:r>
      <w:r w:rsidRPr="00732F12">
        <w:rPr>
          <w:rFonts w:asciiTheme="minorHAnsi" w:hAnsiTheme="minorHAnsi" w:cstheme="minorHAnsi"/>
          <w:sz w:val="24"/>
          <w:szCs w:val="24"/>
          <w:lang w:val="sr-Cyrl-CS"/>
        </w:rPr>
        <w:t>а Града или из екстерних извора</w:t>
      </w:r>
      <w:r w:rsidR="00BC635C" w:rsidRPr="00732F12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BC635C" w:rsidRPr="00732F12" w:rsidRDefault="00BC635C" w:rsidP="00576B2A">
      <w:pPr>
        <w:pStyle w:val="ListParagraph"/>
        <w:ind w:left="106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BC635C" w:rsidRPr="00732F12" w:rsidRDefault="00BC635C" w:rsidP="00576B2A">
      <w:pPr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BC635C" w:rsidRPr="00732F12" w:rsidRDefault="00BC635C" w:rsidP="00576B2A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D60980" w:rsidRDefault="00D60980" w:rsidP="00BC635C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90499F" w:rsidRPr="00732F12" w:rsidRDefault="0090499F" w:rsidP="00BC635C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994F39" w:rsidRPr="00732F12" w:rsidRDefault="00994F39" w:rsidP="00BC635C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color w:val="FF0000"/>
          <w:lang w:val="hr-HR"/>
        </w:rPr>
      </w:pP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color w:val="FF0000"/>
          <w:u w:val="single"/>
          <w:lang w:val="hr-HR"/>
        </w:rPr>
      </w:pPr>
    </w:p>
    <w:p w:rsidR="00BC635C" w:rsidRPr="00732F12" w:rsidRDefault="00BC635C" w:rsidP="00BC635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lastRenderedPageBreak/>
        <w:t>СТРАТЕШКИ ЦИЉЕВИ И ПРИОРИТЕТИ</w:t>
      </w: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</w:p>
    <w:p w:rsidR="00BC635C" w:rsidRPr="00732F12" w:rsidRDefault="00BC635C" w:rsidP="00BC635C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t>Визија</w:t>
      </w: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>Стратегијом развоја г</w:t>
      </w:r>
      <w:r w:rsidR="002604E4"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>рада Приједора за период 2014. -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2024. године, дефинисана је сљедећа визија:</w:t>
      </w: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hAnsiTheme="minorHAnsi" w:cstheme="minorHAnsi"/>
          <w:b/>
          <w:noProof/>
          <w:sz w:val="24"/>
          <w:szCs w:val="24"/>
          <w:lang w:val="sr-Cyrl-CS"/>
        </w:rPr>
        <w:t>„Приједор 2024. – град правих инвестиција и успјешних људи“</w:t>
      </w:r>
      <w:r w:rsidRPr="00732F12">
        <w:rPr>
          <w:rFonts w:asciiTheme="minorHAnsi" w:hAnsiTheme="minorHAnsi" w:cstheme="minorHAnsi"/>
          <w:b/>
          <w:noProof/>
          <w:sz w:val="24"/>
          <w:szCs w:val="24"/>
        </w:rPr>
        <w:t>.</w:t>
      </w: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BC635C" w:rsidRPr="00732F12" w:rsidRDefault="00BC635C" w:rsidP="00BC635C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t>Стратешки циљеви</w:t>
      </w: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sz w:val="24"/>
          <w:szCs w:val="24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>Стратегијом развоја града Приједора за период 2014</w:t>
      </w:r>
      <w:r w:rsidR="002604E4" w:rsidRPr="00732F12">
        <w:rPr>
          <w:rFonts w:asciiTheme="minorHAnsi" w:eastAsia="Lucida Sans Unicode" w:hAnsiTheme="minorHAnsi" w:cstheme="minorHAnsi"/>
          <w:sz w:val="24"/>
          <w:szCs w:val="24"/>
          <w:lang w:val="sr-Cyrl-RS"/>
        </w:rPr>
        <w:t>.</w:t>
      </w:r>
      <w:r w:rsidR="002604E4"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-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2024. године, дефинисана су 4 стратешка циља: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Стратешки циљ</w:t>
      </w:r>
      <w:r w:rsidRPr="00732F1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1</w:t>
      </w: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>Изграђена снажна привреда која користи све ресурсе града Приједора и окружења</w:t>
      </w:r>
      <w:r w:rsidRPr="00732F12">
        <w:rPr>
          <w:rFonts w:asciiTheme="minorHAnsi" w:hAnsiTheme="minorHAnsi" w:cstheme="minorHAnsi"/>
          <w:bCs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Стратешки циљ</w:t>
      </w:r>
      <w:r w:rsidRPr="00732F1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32F12">
        <w:rPr>
          <w:rFonts w:asciiTheme="minorHAnsi" w:hAnsiTheme="minorHAnsi" w:cstheme="minorHAnsi"/>
          <w:b/>
          <w:sz w:val="24"/>
          <w:szCs w:val="24"/>
          <w:lang w:val="bs-Latn-BA"/>
        </w:rPr>
        <w:t>2</w:t>
      </w: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>Санирана и реконструисана постојећа и изграђена нова физичка инфраструктура</w:t>
      </w:r>
      <w:r w:rsidRPr="00732F1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C635C" w:rsidRPr="00732F12" w:rsidRDefault="00BC635C" w:rsidP="00BC635C">
      <w:pPr>
        <w:spacing w:before="120"/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Стратешки циљ</w:t>
      </w:r>
      <w:r w:rsidRPr="00732F1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32F12">
        <w:rPr>
          <w:rFonts w:asciiTheme="minorHAnsi" w:hAnsiTheme="minorHAnsi" w:cstheme="minorHAnsi"/>
          <w:b/>
          <w:sz w:val="24"/>
          <w:szCs w:val="24"/>
          <w:lang w:val="bs-Latn-BA"/>
        </w:rPr>
        <w:t>3</w:t>
      </w: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Развијена мрежа институција </w:t>
      </w:r>
      <w:r w:rsidR="0081670A"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за подршку друштвеном развоју и </w:t>
      </w:r>
      <w:r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>побољшан квалитет живота грађана</w:t>
      </w:r>
      <w:r w:rsidRPr="00732F12">
        <w:rPr>
          <w:rFonts w:asciiTheme="minorHAnsi" w:hAnsiTheme="minorHAnsi" w:cstheme="minorHAnsi"/>
          <w:bCs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ind w:left="1560" w:hanging="15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Стратешки циљ</w:t>
      </w:r>
      <w:r w:rsidRPr="00732F1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32F12">
        <w:rPr>
          <w:rFonts w:asciiTheme="minorHAnsi" w:hAnsiTheme="minorHAnsi" w:cstheme="minorHAnsi"/>
          <w:b/>
          <w:sz w:val="24"/>
          <w:szCs w:val="24"/>
          <w:lang w:val="bs-Latn-BA"/>
        </w:rPr>
        <w:t>4</w:t>
      </w:r>
      <w:r w:rsidRPr="00732F12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bCs/>
          <w:sz w:val="24"/>
          <w:szCs w:val="24"/>
          <w:lang w:val="sr-Cyrl-CS"/>
        </w:rPr>
        <w:t>Успостављени функционални капацитети за одрживо управљање животном средином уз примјену принципа енергетске ефикасности</w:t>
      </w:r>
      <w:r w:rsidRPr="00732F12">
        <w:rPr>
          <w:rFonts w:asciiTheme="minorHAnsi" w:hAnsiTheme="minorHAnsi" w:cstheme="minorHAnsi"/>
          <w:bCs/>
          <w:sz w:val="24"/>
          <w:szCs w:val="24"/>
        </w:rPr>
        <w:t>.</w:t>
      </w:r>
    </w:p>
    <w:p w:rsidR="00BC635C" w:rsidRPr="00732F12" w:rsidRDefault="00BC635C" w:rsidP="00BC635C">
      <w:pPr>
        <w:spacing w:before="120"/>
        <w:ind w:left="1560" w:hanging="15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BC635C" w:rsidRPr="00732F12" w:rsidRDefault="00BC635C" w:rsidP="00BC635C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t>Секторски циљеви</w:t>
      </w:r>
    </w:p>
    <w:p w:rsidR="00BC635C" w:rsidRPr="00732F12" w:rsidRDefault="00BC635C" w:rsidP="00BC635C">
      <w:pPr>
        <w:pStyle w:val="ListParagraph"/>
        <w:ind w:left="1080"/>
        <w:jc w:val="both"/>
        <w:rPr>
          <w:rFonts w:asciiTheme="minorHAnsi" w:hAnsiTheme="minorHAnsi" w:cstheme="minorHAnsi"/>
          <w:lang w:val="hr-HR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eastAsia="Lucida Sans Unicode" w:hAnsiTheme="minorHAnsi" w:cstheme="minorHAnsi"/>
          <w:sz w:val="24"/>
          <w:szCs w:val="24"/>
          <w:lang w:val="hr-HR"/>
        </w:rPr>
      </w:pP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>Стратешки приоритети за развој града су: економски развој, друштвени развој и заштита животне средине. У оквиру ових сектора, дефинисани су сљедећи циљеви:</w:t>
      </w:r>
    </w:p>
    <w:p w:rsidR="00BC635C" w:rsidRPr="00732F12" w:rsidRDefault="00BC635C" w:rsidP="00BC635C">
      <w:pPr>
        <w:ind w:firstLine="708"/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</w:pPr>
      <w:r w:rsidRPr="00732F12"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  <w:t>Економски развој</w:t>
      </w:r>
    </w:p>
    <w:p w:rsidR="00BC635C" w:rsidRPr="00732F12" w:rsidRDefault="00BC635C" w:rsidP="00BC635C">
      <w:pPr>
        <w:spacing w:before="120"/>
        <w:ind w:left="1560" w:hanging="15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1: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Попуњени капацитети у  индустријским зонама „Целпак“ и „Чиркин поље“ и припремљене јо</w:t>
      </w:r>
      <w:r w:rsidR="00732F12"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ш три нове пословне зоне до 2023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. </w:t>
      </w:r>
      <w:r w:rsidRPr="00732F12">
        <w:rPr>
          <w:rFonts w:asciiTheme="minorHAnsi" w:hAnsiTheme="minorHAnsi" w:cstheme="minorHAnsi"/>
          <w:noProof/>
          <w:sz w:val="24"/>
          <w:szCs w:val="24"/>
        </w:rPr>
        <w:t>г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одине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eastAsia="Lucida Sans Unicode" w:hAnsiTheme="minorHAnsi" w:cstheme="minorHAnsi"/>
          <w:b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2: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Повећана улагања и приходи у пољопривредној производњи у руралним подручјима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ind w:left="1560" w:hanging="15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3: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Побољшање туристичке понуде града Приједора, првенствено на подручју Националног парка „Козара“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eastAsia="Lucida Sans Unicode" w:hAnsiTheme="minorHAnsi" w:cstheme="minorHAnsi"/>
          <w:b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4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: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Унапређење конкурентности МСП, предузетништва и запошљавања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5: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Подршка инвестиционим активностима и развоју јавно-приватног партнерства.</w:t>
      </w:r>
    </w:p>
    <w:p w:rsidR="00BC635C" w:rsidRPr="00732F12" w:rsidRDefault="00BC635C" w:rsidP="00BC635C">
      <w:pPr>
        <w:spacing w:before="120"/>
        <w:jc w:val="both"/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</w:pP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</w:pPr>
      <w:r w:rsidRPr="00732F12"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  <w:t>Друштвени развој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1: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Изграђена</w:t>
      </w:r>
      <w:r w:rsidR="002B449D"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друштвена инфраструктура 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2: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Унапријеђене друштвене  услуге грађанима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3: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Изграђена остала  физичка (комунална, техничка и саобраћајна) </w:t>
      </w:r>
      <w:r w:rsidR="00147EE4"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инфраструктура.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BC635C" w:rsidRPr="00732F12" w:rsidRDefault="00BC635C" w:rsidP="00BC635C">
      <w:pPr>
        <w:jc w:val="both"/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</w:pPr>
      <w:r w:rsidRPr="00732F12">
        <w:rPr>
          <w:rFonts w:asciiTheme="minorHAnsi" w:eastAsia="Lucida Sans Unicode" w:hAnsiTheme="minorHAnsi" w:cstheme="minorHAnsi"/>
          <w:b/>
          <w:i/>
          <w:sz w:val="24"/>
          <w:szCs w:val="24"/>
          <w:u w:val="single"/>
          <w:lang w:val="hr-HR"/>
        </w:rPr>
        <w:t>Сектор заштите  животне средине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1</w:t>
      </w:r>
      <w:r w:rsidRPr="00732F12">
        <w:rPr>
          <w:rFonts w:asciiTheme="minorHAnsi" w:eastAsia="Lucida Sans Unicode" w:hAnsiTheme="minorHAnsi" w:cstheme="minorHAnsi"/>
          <w:sz w:val="24"/>
          <w:szCs w:val="24"/>
          <w:lang w:val="hr-HR"/>
        </w:rPr>
        <w:t xml:space="preserve">:  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Успостављање система заштите квалитета површинских вода и заштите изворишта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2: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Успостављен интегралан система управљања отпадом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ind w:left="1701" w:hanging="170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3: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Смањење емисије </w:t>
      </w:r>
      <w:r w:rsidRPr="00732F12">
        <w:rPr>
          <w:rFonts w:asciiTheme="minorHAnsi" w:hAnsiTheme="minorHAnsi" w:cstheme="minorHAnsi"/>
          <w:noProof/>
          <w:sz w:val="24"/>
          <w:szCs w:val="24"/>
          <w:lang w:val="bs-Latn-BA"/>
        </w:rPr>
        <w:t>ЦО</w:t>
      </w:r>
      <w:r w:rsidRPr="00732F12">
        <w:rPr>
          <w:rFonts w:asciiTheme="minorHAnsi" w:hAnsiTheme="minorHAnsi" w:cstheme="minorHAnsi"/>
          <w:noProof/>
          <w:sz w:val="24"/>
          <w:szCs w:val="24"/>
          <w:vertAlign w:val="subscript"/>
          <w:lang w:val="bs-Cyrl-BA"/>
        </w:rPr>
        <w:t>2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кроз повећање енергетске ефикасности и повећање учешћа обновљивих извора енергије</w:t>
      </w:r>
      <w:r w:rsidRPr="00732F12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635C" w:rsidRPr="00732F12" w:rsidRDefault="00BC635C" w:rsidP="00BC635C">
      <w:pPr>
        <w:spacing w:before="120"/>
        <w:ind w:left="1701" w:hanging="1701"/>
        <w:jc w:val="both"/>
        <w:rPr>
          <w:rFonts w:asciiTheme="minorHAnsi" w:hAnsiTheme="minorHAnsi" w:cstheme="minorHAnsi"/>
          <w:noProof/>
          <w:sz w:val="24"/>
          <w:szCs w:val="24"/>
          <w:lang w:val="sr-Cyrl-CS"/>
        </w:rPr>
      </w:pPr>
      <w:r w:rsidRPr="00732F12">
        <w:rPr>
          <w:rFonts w:asciiTheme="minorHAnsi" w:eastAsia="Lucida Sans Unicode" w:hAnsiTheme="minorHAnsi" w:cstheme="minorHAnsi"/>
          <w:b/>
          <w:sz w:val="24"/>
          <w:szCs w:val="24"/>
          <w:lang w:val="hr-HR"/>
        </w:rPr>
        <w:t>Секторски циљ 4: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 Изградња система управљања и контроле квалитета животне средине и едукација становништва.</w:t>
      </w:r>
    </w:p>
    <w:p w:rsidR="00BC635C" w:rsidRPr="00732F12" w:rsidRDefault="00BC635C" w:rsidP="00BC635C">
      <w:pPr>
        <w:spacing w:before="120"/>
        <w:ind w:left="1701" w:hanging="1701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BC635C" w:rsidRPr="00732F12" w:rsidRDefault="00BC635C" w:rsidP="00BC635C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732F12">
        <w:rPr>
          <w:rFonts w:asciiTheme="minorHAnsi" w:hAnsiTheme="minorHAnsi" w:cstheme="minorHAnsi"/>
          <w:lang w:val="hr-HR"/>
        </w:rPr>
        <w:t>Кључни планирани приоритети и фокуси за посматрани год</w:t>
      </w:r>
      <w:r w:rsidRPr="00732F12">
        <w:rPr>
          <w:rFonts w:asciiTheme="minorHAnsi" w:hAnsiTheme="minorHAnsi" w:cstheme="minorHAnsi"/>
          <w:lang w:val="bs-Latn-BA"/>
        </w:rPr>
        <w:t>ишњи период  (</w:t>
      </w:r>
      <w:r w:rsidR="00732F12" w:rsidRPr="00732F12">
        <w:rPr>
          <w:rFonts w:asciiTheme="minorHAnsi" w:hAnsiTheme="minorHAnsi" w:cstheme="minorHAnsi"/>
          <w:lang w:val="hr-HR"/>
        </w:rPr>
        <w:t>2023</w:t>
      </w:r>
      <w:r w:rsidRPr="00732F12">
        <w:rPr>
          <w:rFonts w:asciiTheme="minorHAnsi" w:hAnsiTheme="minorHAnsi" w:cstheme="minorHAnsi"/>
          <w:lang w:val="hr-HR"/>
        </w:rPr>
        <w:t>. година)</w:t>
      </w:r>
    </w:p>
    <w:p w:rsidR="00BC635C" w:rsidRPr="00732F12" w:rsidRDefault="00BC635C" w:rsidP="00BC635C">
      <w:pPr>
        <w:pStyle w:val="ListParagraph"/>
        <w:ind w:left="1080"/>
        <w:jc w:val="both"/>
        <w:rPr>
          <w:rFonts w:asciiTheme="minorHAnsi" w:hAnsiTheme="minorHAnsi" w:cstheme="minorHAnsi"/>
          <w:lang w:val="hr-HR"/>
        </w:rPr>
      </w:pP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732F1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Кључни приоритети економског сектора</w:t>
      </w:r>
    </w:p>
    <w:p w:rsidR="00BC635C" w:rsidRPr="00732F12" w:rsidRDefault="00BC635C" w:rsidP="00BC635C">
      <w:pPr>
        <w:spacing w:before="240"/>
        <w:ind w:firstLine="708"/>
        <w:jc w:val="both"/>
        <w:rPr>
          <w:rFonts w:asciiTheme="minorHAnsi" w:hAnsiTheme="minorHAnsi" w:cstheme="minorHAnsi"/>
          <w:b/>
          <w:iCs/>
          <w:sz w:val="24"/>
          <w:szCs w:val="24"/>
          <w:lang w:val="bs-Latn-BA"/>
        </w:rPr>
      </w:pP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У складу са дефинисаним секторским циљевима, кључни приор</w:t>
      </w:r>
      <w:r w:rsidR="00732F12"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итети економског сектора за 2023</w:t>
      </w: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. годину су: </w:t>
      </w:r>
    </w:p>
    <w:p w:rsidR="00BC635C" w:rsidRPr="00732F12" w:rsidRDefault="00BC635C" w:rsidP="00BC635C">
      <w:pPr>
        <w:pStyle w:val="ListParagraph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b w:val="0"/>
        </w:rPr>
      </w:pPr>
      <w:proofErr w:type="spellStart"/>
      <w:r w:rsidRPr="00732F12">
        <w:rPr>
          <w:rFonts w:asciiTheme="minorHAnsi" w:hAnsiTheme="minorHAnsi" w:cstheme="minorHAnsi"/>
          <w:b w:val="0"/>
        </w:rPr>
        <w:t>стварање</w:t>
      </w:r>
      <w:proofErr w:type="spellEnd"/>
      <w:r w:rsidRPr="00732F1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32F12">
        <w:rPr>
          <w:rFonts w:asciiTheme="minorHAnsi" w:hAnsiTheme="minorHAnsi" w:cstheme="minorHAnsi"/>
          <w:b w:val="0"/>
        </w:rPr>
        <w:t>повољног</w:t>
      </w:r>
      <w:proofErr w:type="spellEnd"/>
      <w:r w:rsidRPr="00732F1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32F12">
        <w:rPr>
          <w:rFonts w:asciiTheme="minorHAnsi" w:hAnsiTheme="minorHAnsi" w:cstheme="minorHAnsi"/>
          <w:b w:val="0"/>
        </w:rPr>
        <w:t>пословног</w:t>
      </w:r>
      <w:proofErr w:type="spellEnd"/>
      <w:r w:rsidRPr="00732F1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32F12">
        <w:rPr>
          <w:rFonts w:asciiTheme="minorHAnsi" w:hAnsiTheme="minorHAnsi" w:cstheme="minorHAnsi"/>
          <w:b w:val="0"/>
        </w:rPr>
        <w:t>амбијента</w:t>
      </w:r>
      <w:proofErr w:type="spellEnd"/>
      <w:r w:rsidRPr="00732F1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32F12">
        <w:rPr>
          <w:rFonts w:asciiTheme="minorHAnsi" w:hAnsiTheme="minorHAnsi" w:cstheme="minorHAnsi"/>
          <w:b w:val="0"/>
        </w:rPr>
        <w:t>за</w:t>
      </w:r>
      <w:proofErr w:type="spellEnd"/>
      <w:r w:rsidRPr="00732F1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32F12">
        <w:rPr>
          <w:rFonts w:asciiTheme="minorHAnsi" w:hAnsiTheme="minorHAnsi" w:cstheme="minorHAnsi"/>
          <w:b w:val="0"/>
        </w:rPr>
        <w:t>инвестирање</w:t>
      </w:r>
      <w:proofErr w:type="spellEnd"/>
      <w:r w:rsidRPr="00732F12">
        <w:rPr>
          <w:rFonts w:asciiTheme="minorHAnsi" w:hAnsiTheme="minorHAnsi" w:cstheme="minorHAnsi"/>
          <w:b w:val="0"/>
          <w:lang w:val="sr-Cyrl-RS"/>
        </w:rPr>
        <w:t>,</w:t>
      </w:r>
    </w:p>
    <w:p w:rsidR="00BC635C" w:rsidRPr="00732F12" w:rsidRDefault="00BC635C" w:rsidP="00BC635C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 w:val="0"/>
        </w:rPr>
      </w:pPr>
      <w:r w:rsidRPr="00732F12">
        <w:rPr>
          <w:rFonts w:asciiTheme="minorHAnsi" w:hAnsiTheme="minorHAnsi" w:cstheme="minorHAnsi"/>
          <w:b w:val="0"/>
          <w:lang w:val="sr-Latn-RS"/>
        </w:rPr>
        <w:t>подршка пољопривредној производњи,</w:t>
      </w:r>
    </w:p>
    <w:p w:rsidR="00BC635C" w:rsidRPr="00732F12" w:rsidRDefault="00BC635C" w:rsidP="00BC635C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 w:val="0"/>
          <w:iCs/>
          <w:lang w:val="bs-Latn-BA"/>
        </w:rPr>
      </w:pPr>
      <w:r w:rsidRPr="00732F12">
        <w:rPr>
          <w:rFonts w:asciiTheme="minorHAnsi" w:hAnsiTheme="minorHAnsi" w:cstheme="minorHAnsi"/>
          <w:b w:val="0"/>
          <w:lang w:val="sr-Cyrl-RS"/>
        </w:rPr>
        <w:t>подршка малим и средњим предузећима</w:t>
      </w:r>
      <w:r w:rsidRPr="00732F12">
        <w:rPr>
          <w:rFonts w:asciiTheme="minorHAnsi" w:hAnsiTheme="minorHAnsi" w:cstheme="minorHAnsi"/>
          <w:b w:val="0"/>
          <w:lang w:val="sr-Latn-RS"/>
        </w:rPr>
        <w:t xml:space="preserve"> и </w:t>
      </w:r>
      <w:r w:rsidRPr="00732F12">
        <w:rPr>
          <w:rFonts w:asciiTheme="minorHAnsi" w:hAnsiTheme="minorHAnsi" w:cstheme="minorHAnsi"/>
          <w:b w:val="0"/>
          <w:lang w:val="sr-Cyrl-RS"/>
        </w:rPr>
        <w:t>предузетништву,</w:t>
      </w:r>
    </w:p>
    <w:p w:rsidR="00BC635C" w:rsidRPr="00732F12" w:rsidRDefault="00BC635C" w:rsidP="00BC635C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 w:val="0"/>
          <w:iCs/>
          <w:lang w:val="bs-Latn-BA"/>
        </w:rPr>
      </w:pPr>
      <w:r w:rsidRPr="00732F12">
        <w:rPr>
          <w:rFonts w:asciiTheme="minorHAnsi" w:hAnsiTheme="minorHAnsi" w:cstheme="minorHAnsi"/>
          <w:b w:val="0"/>
          <w:lang w:val="sr-Cyrl-RS"/>
        </w:rPr>
        <w:t>подршка запошљавању</w:t>
      </w:r>
      <w:r w:rsidRPr="00732F12">
        <w:rPr>
          <w:rFonts w:asciiTheme="minorHAnsi" w:hAnsiTheme="minorHAnsi" w:cstheme="minorHAnsi"/>
          <w:b w:val="0"/>
          <w:iCs/>
          <w:lang w:val="bs-Latn-BA"/>
        </w:rPr>
        <w:t xml:space="preserve">. </w:t>
      </w:r>
    </w:p>
    <w:p w:rsidR="00BC635C" w:rsidRPr="00732F12" w:rsidRDefault="00BC635C" w:rsidP="00BC635C">
      <w:pPr>
        <w:spacing w:before="120"/>
        <w:ind w:firstLine="708"/>
        <w:jc w:val="both"/>
        <w:rPr>
          <w:rFonts w:asciiTheme="minorHAnsi" w:hAnsiTheme="minorHAnsi" w:cstheme="minorHAnsi"/>
          <w:b/>
          <w:iCs/>
          <w:sz w:val="24"/>
          <w:szCs w:val="24"/>
          <w:lang w:val="bs-Latn-BA"/>
        </w:rPr>
      </w:pP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Фокусирање на </w:t>
      </w:r>
      <w:proofErr w:type="spellStart"/>
      <w:r w:rsidRPr="00732F12">
        <w:rPr>
          <w:rFonts w:asciiTheme="minorHAnsi" w:hAnsiTheme="minorHAnsi" w:cstheme="minorHAnsi"/>
          <w:sz w:val="24"/>
          <w:szCs w:val="24"/>
        </w:rPr>
        <w:t>стално</w:t>
      </w:r>
      <w:proofErr w:type="spellEnd"/>
      <w:r w:rsidRPr="00732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2F12">
        <w:rPr>
          <w:rFonts w:asciiTheme="minorHAnsi" w:hAnsiTheme="minorHAnsi" w:cstheme="minorHAnsi"/>
          <w:sz w:val="24"/>
          <w:szCs w:val="24"/>
        </w:rPr>
        <w:t>унапређивање</w:t>
      </w:r>
      <w:proofErr w:type="spellEnd"/>
      <w:r w:rsidRPr="00732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2F12">
        <w:rPr>
          <w:rFonts w:asciiTheme="minorHAnsi" w:hAnsiTheme="minorHAnsi" w:cstheme="minorHAnsi"/>
          <w:sz w:val="24"/>
          <w:szCs w:val="24"/>
        </w:rPr>
        <w:t>пословног</w:t>
      </w:r>
      <w:proofErr w:type="spellEnd"/>
      <w:r w:rsidRPr="00732F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2F12">
        <w:rPr>
          <w:rFonts w:asciiTheme="minorHAnsi" w:hAnsiTheme="minorHAnsi" w:cstheme="minorHAnsi"/>
          <w:sz w:val="24"/>
          <w:szCs w:val="24"/>
        </w:rPr>
        <w:t>окружења</w:t>
      </w:r>
      <w:proofErr w:type="spellEnd"/>
      <w:r w:rsidRPr="00732F12">
        <w:rPr>
          <w:rFonts w:asciiTheme="minorHAnsi" w:hAnsiTheme="minorHAnsi" w:cstheme="minorHAnsi"/>
          <w:sz w:val="24"/>
          <w:szCs w:val="24"/>
        </w:rPr>
        <w:t xml:space="preserve"> </w:t>
      </w: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има за циљ привлачење инвестиција, што ствара предуслове за реализацију секторског циља </w:t>
      </w:r>
      <w:r w:rsidR="0081670A" w:rsidRPr="00732F12">
        <w:rPr>
          <w:rFonts w:asciiTheme="minorHAnsi" w:hAnsiTheme="minorHAnsi" w:cstheme="minorHAnsi"/>
          <w:iCs/>
          <w:sz w:val="24"/>
          <w:szCs w:val="24"/>
          <w:lang w:val="sr-Cyrl-RS"/>
        </w:rPr>
        <w:t xml:space="preserve">                 </w:t>
      </w: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1 – „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Попуњени капацитети у  индустријским зонама „Целпак“ и „Чиркин поље“ и припремљене јо</w:t>
      </w:r>
      <w:r w:rsidR="00732F12"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ш три нове пословне зоне до 2023</w:t>
      </w:r>
      <w:r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 xml:space="preserve">. </w:t>
      </w:r>
      <w:r w:rsidR="008E4B5C" w:rsidRPr="00732F12">
        <w:rPr>
          <w:rFonts w:asciiTheme="minorHAnsi" w:hAnsiTheme="minorHAnsi" w:cstheme="minorHAnsi"/>
          <w:noProof/>
          <w:sz w:val="24"/>
          <w:szCs w:val="24"/>
        </w:rPr>
        <w:t>г</w:t>
      </w:r>
      <w:r w:rsidR="008E4B5C" w:rsidRPr="00732F12">
        <w:rPr>
          <w:rFonts w:asciiTheme="minorHAnsi" w:hAnsiTheme="minorHAnsi" w:cstheme="minorHAnsi"/>
          <w:noProof/>
          <w:sz w:val="24"/>
          <w:szCs w:val="24"/>
          <w:lang w:val="sr-Cyrl-CS"/>
        </w:rPr>
        <w:t>одине</w:t>
      </w:r>
      <w:r w:rsidR="008E4B5C" w:rsidRPr="00732F12">
        <w:rPr>
          <w:rFonts w:asciiTheme="minorHAnsi" w:hAnsiTheme="minorHAnsi" w:cstheme="minorHAnsi"/>
          <w:noProof/>
          <w:sz w:val="24"/>
          <w:szCs w:val="24"/>
        </w:rPr>
        <w:t>“</w:t>
      </w:r>
      <w:r w:rsidR="008E4B5C"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.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b/>
          <w:iCs/>
          <w:sz w:val="24"/>
          <w:szCs w:val="24"/>
          <w:lang w:val="bs-Latn-BA"/>
        </w:rPr>
      </w:pP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Подршка пољопривредној производњи треба да допринесе остварењу секторског циља 2 – „Повећана улагања и приходи у пољопривредној производњи“. 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iCs/>
          <w:sz w:val="24"/>
          <w:szCs w:val="24"/>
          <w:lang w:val="bs-Latn-BA"/>
        </w:rPr>
      </w:pP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Подршком малим и средњим предузећима, предузетништву и запошљавању стварају се услови за реализацију секторског циља 4 – „Унапређење конкурентности МСП, предузетништва и запошљавања“.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b/>
          <w:iCs/>
          <w:sz w:val="24"/>
          <w:szCs w:val="24"/>
          <w:lang w:val="bs-Latn-BA"/>
        </w:rPr>
      </w:pP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732F1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Кључни приоритети друштвеног сектора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У друштвеном сектору </w:t>
      </w: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кључни приоритети </w:t>
      </w:r>
      <w:r w:rsidR="0081670A"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за </w:t>
      </w:r>
      <w:r w:rsidR="00732F12" w:rsidRPr="00732F12">
        <w:rPr>
          <w:rFonts w:asciiTheme="minorHAnsi" w:hAnsiTheme="minorHAnsi" w:cstheme="minorHAnsi"/>
          <w:sz w:val="24"/>
          <w:szCs w:val="24"/>
          <w:lang w:val="hr-HR"/>
        </w:rPr>
        <w:t>2023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. годину </w:t>
      </w:r>
      <w:r w:rsidRPr="00732F12">
        <w:rPr>
          <w:rFonts w:asciiTheme="minorHAnsi" w:hAnsiTheme="minorHAnsi" w:cstheme="minorHAnsi"/>
          <w:iCs/>
          <w:sz w:val="24"/>
          <w:szCs w:val="24"/>
          <w:lang w:val="bs-Latn-BA"/>
        </w:rPr>
        <w:t>су</w:t>
      </w:r>
      <w:r w:rsidRPr="00732F12">
        <w:rPr>
          <w:rFonts w:asciiTheme="minorHAnsi" w:hAnsiTheme="minorHAnsi" w:cstheme="minorHAnsi"/>
          <w:sz w:val="24"/>
          <w:szCs w:val="24"/>
          <w:lang w:val="hr-HR"/>
        </w:rPr>
        <w:t xml:space="preserve">: </w:t>
      </w:r>
    </w:p>
    <w:p w:rsidR="00BC635C" w:rsidRPr="00732F12" w:rsidRDefault="00BC635C" w:rsidP="00BC635C">
      <w:pPr>
        <w:pStyle w:val="ListParagraph"/>
        <w:numPr>
          <w:ilvl w:val="0"/>
          <w:numId w:val="11"/>
        </w:numPr>
        <w:spacing w:before="120"/>
        <w:ind w:left="709" w:hanging="425"/>
        <w:jc w:val="both"/>
        <w:rPr>
          <w:rFonts w:asciiTheme="minorHAnsi" w:hAnsiTheme="minorHAnsi" w:cstheme="minorHAnsi"/>
          <w:b w:val="0"/>
          <w:lang w:val="sr-Cyrl-RS"/>
        </w:rPr>
      </w:pPr>
      <w:r w:rsidRPr="00732F12">
        <w:rPr>
          <w:rFonts w:asciiTheme="minorHAnsi" w:hAnsiTheme="minorHAnsi" w:cstheme="minorHAnsi"/>
          <w:b w:val="0"/>
          <w:lang w:val="sr-Cyrl-RS"/>
        </w:rPr>
        <w:t>реконструкција постојећих и изградња нових објеката друштвене инфраструктуре,</w:t>
      </w:r>
    </w:p>
    <w:p w:rsidR="00BC635C" w:rsidRPr="00732F12" w:rsidRDefault="00BC635C" w:rsidP="00BC635C">
      <w:pPr>
        <w:pStyle w:val="ListParagraph"/>
        <w:numPr>
          <w:ilvl w:val="0"/>
          <w:numId w:val="11"/>
        </w:numPr>
        <w:spacing w:before="120"/>
        <w:ind w:left="709" w:hanging="425"/>
        <w:jc w:val="both"/>
        <w:rPr>
          <w:rFonts w:asciiTheme="minorHAnsi" w:hAnsiTheme="minorHAnsi" w:cstheme="minorHAnsi"/>
          <w:b w:val="0"/>
          <w:lang w:val="sr-Cyrl-RS"/>
        </w:rPr>
      </w:pPr>
      <w:r w:rsidRPr="00732F12">
        <w:rPr>
          <w:rFonts w:asciiTheme="minorHAnsi" w:hAnsiTheme="minorHAnsi" w:cstheme="minorHAnsi"/>
          <w:b w:val="0"/>
          <w:lang w:val="sr-Cyrl-RS"/>
        </w:rPr>
        <w:t>реконструкција постојећих и изградња нових објеката комуналне инфраструктуре</w:t>
      </w:r>
      <w:r w:rsidRPr="00732F12">
        <w:rPr>
          <w:rFonts w:asciiTheme="minorHAnsi" w:hAnsiTheme="minorHAnsi" w:cstheme="minorHAnsi"/>
          <w:b w:val="0"/>
          <w:lang w:val="sr-Latn-RS"/>
        </w:rPr>
        <w:t>.</w:t>
      </w:r>
    </w:p>
    <w:p w:rsidR="00BC635C" w:rsidRPr="00732F12" w:rsidRDefault="00BC635C" w:rsidP="00BC635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hr-HR"/>
        </w:rPr>
      </w:pPr>
    </w:p>
    <w:p w:rsidR="00BC635C" w:rsidRPr="002836D7" w:rsidRDefault="00BC635C" w:rsidP="00BC635C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836D7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Фокусирање на 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>реконструкциј</w:t>
      </w:r>
      <w:r w:rsidRPr="002836D7">
        <w:rPr>
          <w:rFonts w:asciiTheme="minorHAnsi" w:hAnsiTheme="minorHAnsi" w:cstheme="minorHAnsi"/>
          <w:sz w:val="24"/>
          <w:szCs w:val="24"/>
        </w:rPr>
        <w:t>у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постојећих и изградњ</w:t>
      </w:r>
      <w:r w:rsidRPr="002836D7">
        <w:rPr>
          <w:rFonts w:asciiTheme="minorHAnsi" w:hAnsiTheme="minorHAnsi" w:cstheme="minorHAnsi"/>
          <w:sz w:val="24"/>
          <w:szCs w:val="24"/>
        </w:rPr>
        <w:t>у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нових објеката друштвене инфраструктуре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 треба да допринесе остварењу секторског циља 1 – „Изграђена </w:t>
      </w:r>
      <w:r w:rsidR="00D60980"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друштвена инфраструктура </w:t>
      </w:r>
      <w:r w:rsidR="002836D7" w:rsidRPr="002836D7">
        <w:rPr>
          <w:rFonts w:asciiTheme="minorHAnsi" w:hAnsiTheme="minorHAnsi" w:cstheme="minorHAnsi"/>
          <w:sz w:val="24"/>
          <w:szCs w:val="24"/>
          <w:lang w:val="hr-HR"/>
        </w:rPr>
        <w:t>до 2023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>. године“.</w:t>
      </w:r>
    </w:p>
    <w:p w:rsidR="00BC635C" w:rsidRPr="002836D7" w:rsidRDefault="00BC635C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Реконструкција 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>постојећих и изградња нових објеката комуналне инфраструктуре</w:t>
      </w:r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>треба да допринесе остварењу секторског циља 3 – „Изграђена остала физичка (комунална, техничка и саобраћајна) инфраструктура“.</w:t>
      </w:r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p w:rsidR="00BC635C" w:rsidRPr="002836D7" w:rsidRDefault="00BC635C" w:rsidP="00BC63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2836D7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>Кључни приоритети сектора заштите животне средине</w:t>
      </w:r>
    </w:p>
    <w:p w:rsidR="00BC635C" w:rsidRPr="002836D7" w:rsidRDefault="00BC635C" w:rsidP="00BC635C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836D7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Кључни приоритети 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>у сектору</w:t>
      </w:r>
      <w:r w:rsidR="002836D7"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 заштите животне средине за 2023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. годину </w:t>
      </w:r>
      <w:r w:rsidRPr="002836D7">
        <w:rPr>
          <w:rFonts w:asciiTheme="minorHAnsi" w:hAnsiTheme="minorHAnsi" w:cstheme="minorHAnsi"/>
          <w:iCs/>
          <w:sz w:val="24"/>
          <w:szCs w:val="24"/>
          <w:lang w:val="bs-Latn-BA"/>
        </w:rPr>
        <w:t>су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: </w:t>
      </w:r>
    </w:p>
    <w:p w:rsidR="00BC635C" w:rsidRPr="002836D7" w:rsidRDefault="00BC635C" w:rsidP="00BC635C">
      <w:pPr>
        <w:pStyle w:val="ListParagraph"/>
        <w:numPr>
          <w:ilvl w:val="0"/>
          <w:numId w:val="12"/>
        </w:numPr>
        <w:spacing w:before="120"/>
        <w:ind w:left="709" w:hanging="425"/>
        <w:jc w:val="both"/>
        <w:rPr>
          <w:rFonts w:asciiTheme="minorHAnsi" w:hAnsiTheme="minorHAnsi" w:cstheme="minorHAnsi"/>
          <w:b w:val="0"/>
        </w:rPr>
      </w:pPr>
      <w:r w:rsidRPr="002836D7">
        <w:rPr>
          <w:rFonts w:asciiTheme="minorHAnsi" w:hAnsiTheme="minorHAnsi" w:cstheme="minorHAnsi"/>
          <w:b w:val="0"/>
          <w:lang w:val="sr-Cyrl-RS"/>
        </w:rPr>
        <w:t>унапређење система заштите квалитета вода и изворишта, те система заштите од поплава,</w:t>
      </w:r>
    </w:p>
    <w:p w:rsidR="00BC635C" w:rsidRPr="002836D7" w:rsidRDefault="00BC635C" w:rsidP="00BC635C">
      <w:pPr>
        <w:pStyle w:val="ListParagraph"/>
        <w:numPr>
          <w:ilvl w:val="0"/>
          <w:numId w:val="12"/>
        </w:numPr>
        <w:spacing w:before="120"/>
        <w:ind w:left="709" w:hanging="425"/>
        <w:jc w:val="both"/>
        <w:rPr>
          <w:rFonts w:asciiTheme="minorHAnsi" w:hAnsiTheme="minorHAnsi" w:cstheme="minorHAnsi"/>
          <w:b w:val="0"/>
          <w:lang w:val="sr-Cyrl-RS"/>
        </w:rPr>
      </w:pPr>
      <w:r w:rsidRPr="002836D7">
        <w:rPr>
          <w:rFonts w:asciiTheme="minorHAnsi" w:hAnsiTheme="minorHAnsi" w:cstheme="minorHAnsi"/>
          <w:b w:val="0"/>
          <w:lang w:val="sr-Cyrl-RS"/>
        </w:rPr>
        <w:t>унапређење система управљања отпадом</w:t>
      </w:r>
      <w:r w:rsidRPr="002836D7">
        <w:rPr>
          <w:rFonts w:asciiTheme="minorHAnsi" w:hAnsiTheme="minorHAnsi" w:cstheme="minorHAnsi"/>
          <w:b w:val="0"/>
          <w:lang w:val="sr-Latn-RS"/>
        </w:rPr>
        <w:t>.</w:t>
      </w:r>
    </w:p>
    <w:p w:rsidR="00BC635C" w:rsidRPr="002836D7" w:rsidRDefault="00BC635C" w:rsidP="00BC635C">
      <w:pPr>
        <w:spacing w:before="120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836D7">
        <w:rPr>
          <w:rFonts w:asciiTheme="minorHAnsi" w:hAnsiTheme="minorHAnsi" w:cstheme="minorHAnsi"/>
          <w:iCs/>
          <w:sz w:val="24"/>
          <w:szCs w:val="24"/>
          <w:lang w:val="bs-Latn-BA"/>
        </w:rPr>
        <w:t xml:space="preserve">Фокусирање на 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>реконструкциј</w:t>
      </w:r>
      <w:r w:rsidRPr="002836D7">
        <w:rPr>
          <w:rFonts w:asciiTheme="minorHAnsi" w:hAnsiTheme="minorHAnsi" w:cstheme="minorHAnsi"/>
          <w:sz w:val="24"/>
          <w:szCs w:val="24"/>
        </w:rPr>
        <w:t>у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постојећ</w:t>
      </w:r>
      <w:r w:rsidRPr="002836D7">
        <w:rPr>
          <w:rFonts w:asciiTheme="minorHAnsi" w:hAnsiTheme="minorHAnsi" w:cstheme="minorHAnsi"/>
          <w:sz w:val="24"/>
          <w:szCs w:val="24"/>
        </w:rPr>
        <w:t>е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и изградњ</w:t>
      </w:r>
      <w:r w:rsidRPr="002836D7">
        <w:rPr>
          <w:rFonts w:asciiTheme="minorHAnsi" w:hAnsiTheme="minorHAnsi" w:cstheme="minorHAnsi"/>
          <w:sz w:val="24"/>
          <w:szCs w:val="24"/>
        </w:rPr>
        <w:t>у</w:t>
      </w:r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нов</w:t>
      </w:r>
      <w:r w:rsidRPr="002836D7">
        <w:rPr>
          <w:rFonts w:asciiTheme="minorHAnsi" w:hAnsiTheme="minorHAnsi" w:cstheme="minorHAnsi"/>
          <w:sz w:val="24"/>
          <w:szCs w:val="24"/>
        </w:rPr>
        <w:t xml:space="preserve">е </w:t>
      </w:r>
      <w:proofErr w:type="spellStart"/>
      <w:r w:rsidRPr="002836D7">
        <w:rPr>
          <w:rFonts w:asciiTheme="minorHAnsi" w:hAnsiTheme="minorHAnsi" w:cstheme="minorHAnsi"/>
          <w:sz w:val="24"/>
          <w:szCs w:val="24"/>
        </w:rPr>
        <w:t>водоводне</w:t>
      </w:r>
      <w:proofErr w:type="spellEnd"/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836D7">
        <w:rPr>
          <w:rFonts w:asciiTheme="minorHAnsi" w:hAnsiTheme="minorHAnsi" w:cstheme="minorHAnsi"/>
          <w:sz w:val="24"/>
          <w:szCs w:val="24"/>
        </w:rPr>
        <w:t>мреже</w:t>
      </w:r>
      <w:proofErr w:type="spellEnd"/>
      <w:r w:rsidRPr="002836D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2836D7">
        <w:rPr>
          <w:rFonts w:asciiTheme="minorHAnsi" w:hAnsiTheme="minorHAnsi" w:cstheme="minorHAnsi"/>
          <w:sz w:val="24"/>
          <w:szCs w:val="24"/>
        </w:rPr>
        <w:t>осталих</w:t>
      </w:r>
      <w:proofErr w:type="spellEnd"/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836D7">
        <w:rPr>
          <w:rFonts w:asciiTheme="minorHAnsi" w:hAnsiTheme="minorHAnsi" w:cstheme="minorHAnsi"/>
          <w:sz w:val="24"/>
          <w:szCs w:val="24"/>
        </w:rPr>
        <w:t>објеката</w:t>
      </w:r>
      <w:proofErr w:type="spellEnd"/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836D7">
        <w:rPr>
          <w:rFonts w:asciiTheme="minorHAnsi" w:hAnsiTheme="minorHAnsi" w:cstheme="minorHAnsi"/>
          <w:sz w:val="24"/>
          <w:szCs w:val="24"/>
        </w:rPr>
        <w:t>водоснабдијевања</w:t>
      </w:r>
      <w:proofErr w:type="spellEnd"/>
      <w:r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 xml:space="preserve">треба да допринесе остварењу секторског циља </w:t>
      </w:r>
      <w:r w:rsidR="0081670A" w:rsidRPr="002836D7">
        <w:rPr>
          <w:rFonts w:asciiTheme="minorHAnsi" w:hAnsiTheme="minorHAnsi" w:cstheme="minorHAnsi"/>
          <w:sz w:val="24"/>
          <w:szCs w:val="24"/>
          <w:lang w:val="sr-Cyrl-RS"/>
        </w:rPr>
        <w:t xml:space="preserve">         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>1 – „Успостављање система заштите квалитета површинских вода и заштите изворишта“.</w:t>
      </w:r>
    </w:p>
    <w:p w:rsidR="00BC635C" w:rsidRPr="002836D7" w:rsidRDefault="00BC635C" w:rsidP="00BC635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836D7">
        <w:rPr>
          <w:rFonts w:asciiTheme="minorHAnsi" w:hAnsiTheme="minorHAnsi" w:cstheme="minorHAnsi"/>
          <w:sz w:val="24"/>
          <w:szCs w:val="24"/>
          <w:lang w:val="hr-HR"/>
        </w:rPr>
        <w:t>Унапређење система управљања отпадом</w:t>
      </w:r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  <w:r w:rsidRPr="002836D7">
        <w:rPr>
          <w:rFonts w:asciiTheme="minorHAnsi" w:hAnsiTheme="minorHAnsi" w:cstheme="minorHAnsi"/>
          <w:sz w:val="24"/>
          <w:szCs w:val="24"/>
          <w:lang w:val="hr-HR"/>
        </w:rPr>
        <w:t>треба да допринесе остварењу секторског циља 2 – „Успостављен интегралан систем управљања отпадом“.</w:t>
      </w:r>
      <w:r w:rsidRPr="002836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color w:val="FF0000"/>
        </w:rPr>
      </w:pPr>
    </w:p>
    <w:p w:rsidR="00BC635C" w:rsidRPr="00732F12" w:rsidRDefault="00BC635C" w:rsidP="00BC635C">
      <w:pPr>
        <w:ind w:firstLine="70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C635C" w:rsidRPr="005503E2" w:rsidRDefault="00BC635C" w:rsidP="00BC635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hr-HR"/>
        </w:rPr>
      </w:pPr>
      <w:r w:rsidRPr="005503E2">
        <w:rPr>
          <w:rFonts w:asciiTheme="minorHAnsi" w:hAnsiTheme="minorHAnsi" w:cstheme="minorHAnsi"/>
          <w:lang w:val="hr-HR"/>
        </w:rPr>
        <w:t>ПРЕГЛЕД  ПЛАН</w:t>
      </w:r>
      <w:r w:rsidR="0090499F">
        <w:rPr>
          <w:rFonts w:asciiTheme="minorHAnsi" w:hAnsiTheme="minorHAnsi" w:cstheme="minorHAnsi"/>
          <w:lang w:val="hr-HR"/>
        </w:rPr>
        <w:t>А ИМПЛЕМЕНТАЦИЈЕ  ИНТЕГРАЛНЕ СТ</w:t>
      </w:r>
      <w:r w:rsidR="0090499F">
        <w:rPr>
          <w:rFonts w:asciiTheme="minorHAnsi" w:hAnsiTheme="minorHAnsi" w:cstheme="minorHAnsi"/>
          <w:lang w:val="sr-Cyrl-RS"/>
        </w:rPr>
        <w:t>РА</w:t>
      </w:r>
      <w:r w:rsidRPr="005503E2">
        <w:rPr>
          <w:rFonts w:asciiTheme="minorHAnsi" w:hAnsiTheme="minorHAnsi" w:cstheme="minorHAnsi"/>
          <w:lang w:val="hr-HR"/>
        </w:rPr>
        <w:t>ТЕГИЈЕ РАЗВОЈА ГРАДА ПРИЈЕДОРА 2014</w:t>
      </w:r>
      <w:r w:rsidR="005503E2" w:rsidRPr="005503E2">
        <w:rPr>
          <w:rFonts w:asciiTheme="minorHAnsi" w:hAnsiTheme="minorHAnsi" w:cstheme="minorHAnsi"/>
          <w:lang w:val="sr-Cyrl-RS"/>
        </w:rPr>
        <w:t>.</w:t>
      </w:r>
      <w:r w:rsidRPr="005503E2">
        <w:rPr>
          <w:rFonts w:asciiTheme="minorHAnsi" w:hAnsiTheme="minorHAnsi" w:cstheme="minorHAnsi"/>
          <w:lang w:val="hr-HR"/>
        </w:rPr>
        <w:t>-2024</w:t>
      </w:r>
      <w:r w:rsidR="00932ACE" w:rsidRPr="005503E2">
        <w:rPr>
          <w:rFonts w:asciiTheme="minorHAnsi" w:hAnsiTheme="minorHAnsi" w:cstheme="minorHAnsi"/>
          <w:lang w:val="sr-Cyrl-RS"/>
        </w:rPr>
        <w:t>.</w:t>
      </w:r>
      <w:r w:rsidR="005503E2" w:rsidRPr="005503E2">
        <w:rPr>
          <w:rFonts w:asciiTheme="minorHAnsi" w:hAnsiTheme="minorHAnsi" w:cstheme="minorHAnsi"/>
          <w:lang w:val="hr-HR"/>
        </w:rPr>
        <w:t xml:space="preserve">  ЗА </w:t>
      </w:r>
      <w:r w:rsidR="006B31D1" w:rsidRPr="005503E2">
        <w:rPr>
          <w:rFonts w:asciiTheme="minorHAnsi" w:hAnsiTheme="minorHAnsi" w:cstheme="minorHAnsi"/>
          <w:lang w:val="hr-HR"/>
        </w:rPr>
        <w:t>2023</w:t>
      </w:r>
      <w:r w:rsidR="00576B2A" w:rsidRPr="005503E2">
        <w:rPr>
          <w:rFonts w:asciiTheme="minorHAnsi" w:hAnsiTheme="minorHAnsi" w:cstheme="minorHAnsi"/>
          <w:lang w:val="hr-HR"/>
        </w:rPr>
        <w:t>.</w:t>
      </w:r>
      <w:r w:rsidR="005503E2" w:rsidRPr="005503E2">
        <w:rPr>
          <w:rFonts w:asciiTheme="minorHAnsi" w:hAnsiTheme="minorHAnsi" w:cstheme="minorHAnsi"/>
          <w:lang w:val="sr-Cyrl-RS"/>
        </w:rPr>
        <w:t xml:space="preserve"> ГОДИНУ</w:t>
      </w:r>
      <w:r w:rsidRPr="005503E2">
        <w:rPr>
          <w:rFonts w:asciiTheme="minorHAnsi" w:hAnsiTheme="minorHAnsi" w:cstheme="minorHAnsi"/>
          <w:lang w:val="hr-HR"/>
        </w:rPr>
        <w:t xml:space="preserve"> </w:t>
      </w:r>
    </w:p>
    <w:p w:rsidR="00BC635C" w:rsidRPr="005503E2" w:rsidRDefault="00BC635C" w:rsidP="00BC635C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C635C" w:rsidRPr="008833BF" w:rsidRDefault="00BC635C" w:rsidP="00BC635C">
      <w:pPr>
        <w:pStyle w:val="ListParagraph"/>
        <w:numPr>
          <w:ilvl w:val="1"/>
          <w:numId w:val="15"/>
        </w:numPr>
        <w:jc w:val="both"/>
        <w:rPr>
          <w:rFonts w:asciiTheme="minorHAnsi" w:hAnsiTheme="minorHAnsi" w:cstheme="minorHAnsi"/>
          <w:lang w:val="hr-HR"/>
        </w:rPr>
      </w:pPr>
      <w:r w:rsidRPr="005503E2">
        <w:rPr>
          <w:rFonts w:asciiTheme="minorHAnsi" w:hAnsiTheme="minorHAnsi" w:cstheme="minorHAnsi"/>
          <w:lang w:val="hr-HR"/>
        </w:rPr>
        <w:t xml:space="preserve">Преглед плана  имплементације </w:t>
      </w:r>
      <w:r w:rsidRPr="005503E2">
        <w:rPr>
          <w:rFonts w:asciiTheme="minorHAnsi" w:hAnsiTheme="minorHAnsi" w:cstheme="minorHAnsi"/>
          <w:lang w:val="sr-Cyrl-RS"/>
        </w:rPr>
        <w:t xml:space="preserve">Интегралне </w:t>
      </w:r>
      <w:r w:rsidRPr="005503E2">
        <w:rPr>
          <w:rFonts w:asciiTheme="minorHAnsi" w:hAnsiTheme="minorHAnsi" w:cstheme="minorHAnsi"/>
          <w:lang w:val="sr-Latn-RS"/>
        </w:rPr>
        <w:t>с</w:t>
      </w:r>
      <w:r w:rsidRPr="005503E2">
        <w:rPr>
          <w:rFonts w:asciiTheme="minorHAnsi" w:hAnsiTheme="minorHAnsi" w:cstheme="minorHAnsi"/>
          <w:lang w:val="hr-HR"/>
        </w:rPr>
        <w:t>тратегије р</w:t>
      </w:r>
      <w:r w:rsidR="0081670A" w:rsidRPr="005503E2">
        <w:rPr>
          <w:rFonts w:asciiTheme="minorHAnsi" w:hAnsiTheme="minorHAnsi" w:cstheme="minorHAnsi"/>
          <w:lang w:val="hr-HR"/>
        </w:rPr>
        <w:t>азвоја града Приједора</w:t>
      </w:r>
      <w:r w:rsidR="005503E2" w:rsidRPr="005503E2">
        <w:rPr>
          <w:rFonts w:asciiTheme="minorHAnsi" w:hAnsiTheme="minorHAnsi" w:cstheme="minorHAnsi"/>
          <w:lang w:val="sr-Cyrl-RS"/>
        </w:rPr>
        <w:t xml:space="preserve"> 2014.-2024.</w:t>
      </w:r>
      <w:r w:rsidR="005503E2" w:rsidRPr="005503E2">
        <w:rPr>
          <w:rFonts w:asciiTheme="minorHAnsi" w:hAnsiTheme="minorHAnsi" w:cstheme="minorHAnsi"/>
          <w:lang w:val="hr-HR"/>
        </w:rPr>
        <w:t xml:space="preserve"> за  2023</w:t>
      </w:r>
      <w:r w:rsidRPr="005503E2">
        <w:rPr>
          <w:rFonts w:asciiTheme="minorHAnsi" w:hAnsiTheme="minorHAnsi" w:cstheme="minorHAnsi"/>
          <w:lang w:val="hr-HR"/>
        </w:rPr>
        <w:t>. годину</w:t>
      </w:r>
    </w:p>
    <w:p w:rsidR="00576B2A" w:rsidRPr="008833BF" w:rsidRDefault="00576B2A" w:rsidP="00576B2A">
      <w:pPr>
        <w:pStyle w:val="ListParagraph"/>
        <w:ind w:left="360"/>
        <w:jc w:val="both"/>
        <w:rPr>
          <w:rFonts w:asciiTheme="minorHAnsi" w:hAnsiTheme="minorHAnsi" w:cstheme="minorHAnsi"/>
          <w:lang w:val="hr-HR"/>
        </w:rPr>
      </w:pPr>
    </w:p>
    <w:p w:rsidR="00BC635C" w:rsidRPr="00732F12" w:rsidRDefault="005503E2" w:rsidP="00BC635C">
      <w:pPr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  <w:r w:rsidRPr="008833BF">
        <w:rPr>
          <w:rFonts w:asciiTheme="minorHAnsi" w:hAnsiTheme="minorHAnsi" w:cstheme="minorHAnsi"/>
          <w:sz w:val="24"/>
          <w:szCs w:val="24"/>
          <w:lang w:val="hr-HR"/>
        </w:rPr>
        <w:t>Планом имплементације за 2023</w:t>
      </w:r>
      <w:r w:rsidR="00BC635C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. годину планирана је реализација </w:t>
      </w:r>
      <w:r w:rsidR="00DF263E" w:rsidRPr="008833BF">
        <w:rPr>
          <w:rFonts w:asciiTheme="minorHAnsi" w:hAnsiTheme="minorHAnsi" w:cstheme="minorHAnsi"/>
          <w:sz w:val="24"/>
          <w:szCs w:val="24"/>
          <w:lang w:val="hr-HR"/>
        </w:rPr>
        <w:t>66</w:t>
      </w:r>
      <w:r w:rsidR="00C002DF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 пројек</w:t>
      </w:r>
      <w:r w:rsidR="00DF263E" w:rsidRPr="008833BF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DF263E" w:rsidRPr="008833BF">
        <w:rPr>
          <w:rFonts w:asciiTheme="minorHAnsi" w:hAnsiTheme="minorHAnsi" w:cstheme="minorHAnsi"/>
          <w:sz w:val="24"/>
          <w:szCs w:val="24"/>
          <w:lang w:val="hr-HR"/>
        </w:rPr>
        <w:t>та</w:t>
      </w:r>
      <w:r w:rsidR="006C7BA6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DF263E" w:rsidRPr="008833BF">
        <w:rPr>
          <w:rFonts w:asciiTheme="minorHAnsi" w:hAnsiTheme="minorHAnsi" w:cstheme="minorHAnsi"/>
          <w:sz w:val="24"/>
          <w:szCs w:val="24"/>
          <w:lang w:val="hr-HR"/>
        </w:rPr>
        <w:t>укупне</w:t>
      </w:r>
      <w:r w:rsidR="00BC635C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 вриједности од </w:t>
      </w:r>
      <w:r w:rsidR="00DF263E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 23.082.768</w:t>
      </w:r>
      <w:r w:rsidR="008E4B5C" w:rsidRPr="008833BF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="00EC70F8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C7BA6" w:rsidRPr="008833BF">
        <w:rPr>
          <w:rFonts w:asciiTheme="minorHAnsi" w:hAnsiTheme="minorHAnsi" w:cstheme="minorHAnsi"/>
          <w:sz w:val="24"/>
          <w:szCs w:val="24"/>
          <w:lang w:val="hr-HR"/>
        </w:rPr>
        <w:t>КМ.</w:t>
      </w:r>
      <w:r w:rsidR="006C7BA6"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Угл</w:t>
      </w:r>
      <w:bookmarkStart w:id="0" w:name="_GoBack"/>
      <w:bookmarkEnd w:id="0"/>
      <w:r w:rsidR="006C7BA6" w:rsidRPr="008833BF">
        <w:rPr>
          <w:rFonts w:asciiTheme="minorHAnsi" w:hAnsiTheme="minorHAnsi" w:cstheme="minorHAnsi"/>
          <w:sz w:val="24"/>
          <w:szCs w:val="24"/>
          <w:lang w:val="sr-Cyrl-RS"/>
        </w:rPr>
        <w:t>авном су то</w:t>
      </w:r>
      <w:r w:rsidR="00BC635C" w:rsidRPr="008833BF">
        <w:rPr>
          <w:rFonts w:asciiTheme="minorHAnsi" w:hAnsiTheme="minorHAnsi" w:cstheme="minorHAnsi"/>
          <w:sz w:val="24"/>
          <w:szCs w:val="24"/>
          <w:lang w:val="hr-HR"/>
        </w:rPr>
        <w:t xml:space="preserve"> вишегодишњи </w:t>
      </w:r>
      <w:r w:rsidR="00BC635C" w:rsidRPr="005503E2">
        <w:rPr>
          <w:rFonts w:asciiTheme="minorHAnsi" w:hAnsiTheme="minorHAnsi" w:cstheme="minorHAnsi"/>
          <w:sz w:val="24"/>
          <w:szCs w:val="24"/>
          <w:lang w:val="hr-HR"/>
        </w:rPr>
        <w:t>пројекти чија је реализација започел</w:t>
      </w:r>
      <w:r w:rsidR="006C7BA6" w:rsidRPr="005503E2">
        <w:rPr>
          <w:rFonts w:asciiTheme="minorHAnsi" w:hAnsiTheme="minorHAnsi" w:cstheme="minorHAnsi"/>
          <w:sz w:val="24"/>
          <w:szCs w:val="24"/>
          <w:lang w:val="hr-HR"/>
        </w:rPr>
        <w:t>а у претходним годинама</w:t>
      </w:r>
      <w:r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 и која се наставља и у 2023</w:t>
      </w:r>
      <w:r w:rsidR="006C7BA6" w:rsidRPr="005503E2">
        <w:rPr>
          <w:rFonts w:asciiTheme="minorHAnsi" w:hAnsiTheme="minorHAnsi" w:cstheme="minorHAnsi"/>
          <w:sz w:val="24"/>
          <w:szCs w:val="24"/>
          <w:lang w:val="sr-Cyrl-RS"/>
        </w:rPr>
        <w:t>. години.</w:t>
      </w:r>
    </w:p>
    <w:p w:rsidR="00576B2A" w:rsidRPr="00732F12" w:rsidRDefault="00576B2A" w:rsidP="00BC635C">
      <w:pPr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</w:p>
    <w:tbl>
      <w:tblPr>
        <w:tblpPr w:leftFromText="180" w:rightFromText="180" w:vertAnchor="text" w:horzAnchor="margin" w:tblpXSpec="center" w:tblpY="354"/>
        <w:tblW w:w="10150" w:type="dxa"/>
        <w:tblLook w:val="04A0" w:firstRow="1" w:lastRow="0" w:firstColumn="1" w:lastColumn="0" w:noHBand="0" w:noVBand="1"/>
      </w:tblPr>
      <w:tblGrid>
        <w:gridCol w:w="3964"/>
        <w:gridCol w:w="1495"/>
        <w:gridCol w:w="1545"/>
        <w:gridCol w:w="1573"/>
        <w:gridCol w:w="1573"/>
      </w:tblGrid>
      <w:tr w:rsidR="00732F12" w:rsidRPr="00732F12" w:rsidTr="000E334C">
        <w:trPr>
          <w:trHeight w:val="651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</w:pP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r-Latn-RS"/>
              </w:rPr>
              <w:t>План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r-Latn-RS"/>
              </w:rPr>
              <w:t>имплементације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r-Latn-RS"/>
              </w:rPr>
              <w:t xml:space="preserve"> </w:t>
            </w:r>
            <w:r w:rsidR="005503E2"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за 2023</w:t>
            </w:r>
            <w:r w:rsidRPr="005503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. годину</w:t>
            </w:r>
          </w:p>
        </w:tc>
      </w:tr>
      <w:tr w:rsidR="00732F12" w:rsidRPr="00732F12" w:rsidTr="000E334C">
        <w:trPr>
          <w:trHeight w:val="429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</w:pP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Сектор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 w:eastAsia="sr-Latn-RS"/>
              </w:rPr>
            </w:pPr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 w:eastAsia="sr-Latn-RS"/>
              </w:rPr>
              <w:t>Број пројеката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</w:pP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Укупно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sr-Latn-RS"/>
              </w:rPr>
              <w:t>I</w:t>
            </w:r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год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</w:pP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Финансирање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из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буџета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ЈЛС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635C" w:rsidRPr="005503E2" w:rsidRDefault="00BC635C" w:rsidP="00C94E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</w:pP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Финансирање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из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осталих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извора</w:t>
            </w:r>
            <w:proofErr w:type="spellEnd"/>
          </w:p>
        </w:tc>
      </w:tr>
      <w:tr w:rsidR="00732F12" w:rsidRPr="00732F12" w:rsidTr="000E334C">
        <w:trPr>
          <w:trHeight w:val="429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</w:tr>
      <w:tr w:rsidR="00732F12" w:rsidRPr="00732F12" w:rsidTr="000E334C">
        <w:trPr>
          <w:trHeight w:val="269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5C" w:rsidRPr="00732F12" w:rsidRDefault="00BC635C" w:rsidP="00C94EF7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sr-Latn-RS"/>
              </w:rPr>
            </w:pPr>
          </w:p>
        </w:tc>
      </w:tr>
      <w:tr w:rsidR="00DF263E" w:rsidRPr="00732F12" w:rsidTr="00DF263E">
        <w:trPr>
          <w:trHeight w:val="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5503E2" w:rsidRDefault="00DF263E" w:rsidP="00DF263E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Економски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сектор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E" w:rsidRPr="008833BF" w:rsidRDefault="008833BF" w:rsidP="00DF26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8833BF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4.805.525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1.546.090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3.259.435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</w:tr>
      <w:tr w:rsidR="00DF263E" w:rsidRPr="00732F12" w:rsidTr="00DF263E">
        <w:trPr>
          <w:trHeight w:val="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5503E2" w:rsidRDefault="00DF263E" w:rsidP="00DF263E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Друштвени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сектор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E" w:rsidRPr="008833BF" w:rsidRDefault="00DF263E" w:rsidP="00DF26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8833BF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11.914.295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1.524.000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10.390.295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</w:tr>
      <w:tr w:rsidR="00DF263E" w:rsidRPr="00732F12" w:rsidTr="00DF263E">
        <w:trPr>
          <w:trHeight w:val="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5503E2" w:rsidRDefault="00DF263E" w:rsidP="00DF263E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Сектор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заштите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животне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средине</w:t>
            </w:r>
            <w:proofErr w:type="spellEnd"/>
            <w:r w:rsidRPr="005503E2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E" w:rsidRPr="008833BF" w:rsidRDefault="008833BF" w:rsidP="00DF26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8833BF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6.362.948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1.055.000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3E" w:rsidRPr="00DF263E" w:rsidRDefault="00DF263E" w:rsidP="00DF2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63E">
              <w:rPr>
                <w:rFonts w:ascii="Calibri" w:hAnsi="Calibri" w:cs="Calibri"/>
                <w:sz w:val="22"/>
                <w:szCs w:val="22"/>
              </w:rPr>
              <w:t>5.307.948</w:t>
            </w:r>
            <w:r w:rsidRPr="00DF263E">
              <w:rPr>
                <w:rFonts w:ascii="Calibri" w:hAnsi="Calibri" w:cs="Calibri"/>
                <w:sz w:val="22"/>
                <w:szCs w:val="22"/>
                <w:lang w:val="sr-Cyrl-RS"/>
              </w:rPr>
              <w:t>,00</w:t>
            </w:r>
          </w:p>
        </w:tc>
      </w:tr>
      <w:tr w:rsidR="00732F12" w:rsidRPr="00732F12" w:rsidTr="008E4B5C">
        <w:trPr>
          <w:trHeight w:val="4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8E4B5C" w:rsidRPr="005503E2" w:rsidRDefault="008E4B5C" w:rsidP="008E4B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</w:pPr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>Укупно</w:t>
            </w:r>
            <w:proofErr w:type="spellEnd"/>
            <w:r w:rsidRPr="00550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8E4B5C" w:rsidRPr="00DF263E" w:rsidRDefault="00DF263E" w:rsidP="008E4B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 w:eastAsia="sr-Latn-RS"/>
              </w:rPr>
            </w:pPr>
            <w:r w:rsidRPr="00DF26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 w:eastAsia="sr-Latn-RS"/>
              </w:rPr>
              <w:t>66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4B5C" w:rsidRPr="00DF263E" w:rsidRDefault="00DF263E" w:rsidP="008E4B5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DF263E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23.082.768</w:t>
            </w:r>
            <w:r w:rsidR="006C7BA6" w:rsidRPr="00DF263E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4B5C" w:rsidRPr="00DF263E" w:rsidRDefault="00DF263E" w:rsidP="008E4B5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DF263E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4.125.090,00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4B5C" w:rsidRPr="00DF263E" w:rsidRDefault="00DF263E" w:rsidP="008E4B5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DF263E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18.957.678,00</w:t>
            </w:r>
          </w:p>
        </w:tc>
      </w:tr>
    </w:tbl>
    <w:p w:rsidR="00BC635C" w:rsidRPr="005503E2" w:rsidRDefault="00BC635C" w:rsidP="00576B2A">
      <w:pPr>
        <w:ind w:left="-567"/>
        <w:rPr>
          <w:rFonts w:asciiTheme="minorHAnsi" w:hAnsiTheme="minorHAnsi" w:cstheme="minorHAnsi"/>
          <w:noProof/>
          <w:sz w:val="24"/>
          <w:szCs w:val="24"/>
          <w:lang w:eastAsia="sr-Latn-RS"/>
        </w:rPr>
      </w:pPr>
      <w:r w:rsidRPr="005503E2">
        <w:rPr>
          <w:rFonts w:asciiTheme="minorHAnsi" w:hAnsiTheme="minorHAnsi" w:cstheme="minorHAnsi"/>
          <w:b/>
          <w:sz w:val="24"/>
          <w:szCs w:val="24"/>
          <w:lang w:val="hr-HR"/>
        </w:rPr>
        <w:t>Табела 1.</w:t>
      </w:r>
      <w:r w:rsidR="00576B2A" w:rsidRPr="005503E2">
        <w:rPr>
          <w:rFonts w:asciiTheme="minorHAnsi" w:hAnsiTheme="minorHAnsi" w:cstheme="minorHAnsi"/>
          <w:sz w:val="24"/>
          <w:szCs w:val="24"/>
          <w:lang w:val="sr-Cyrl-RS"/>
        </w:rPr>
        <w:t>-</w:t>
      </w:r>
      <w:r w:rsidRPr="005503E2">
        <w:rPr>
          <w:rFonts w:asciiTheme="minorHAnsi" w:hAnsiTheme="minorHAnsi" w:cstheme="minorHAnsi"/>
          <w:sz w:val="24"/>
          <w:szCs w:val="24"/>
          <w:lang w:val="hr-HR"/>
        </w:rPr>
        <w:t xml:space="preserve"> Табеларни при</w:t>
      </w:r>
      <w:r w:rsidR="005503E2" w:rsidRPr="005503E2">
        <w:rPr>
          <w:rFonts w:asciiTheme="minorHAnsi" w:hAnsiTheme="minorHAnsi" w:cstheme="minorHAnsi"/>
          <w:sz w:val="24"/>
          <w:szCs w:val="24"/>
          <w:lang w:val="hr-HR"/>
        </w:rPr>
        <w:t>каз Плана Имплементације за 2023</w:t>
      </w:r>
      <w:r w:rsidRPr="005503E2">
        <w:rPr>
          <w:rFonts w:asciiTheme="minorHAnsi" w:hAnsiTheme="minorHAnsi" w:cstheme="minorHAnsi"/>
          <w:sz w:val="24"/>
          <w:szCs w:val="24"/>
          <w:lang w:val="hr-HR"/>
        </w:rPr>
        <w:t>. годину</w:t>
      </w:r>
    </w:p>
    <w:p w:rsidR="00BC635C" w:rsidRPr="00732F12" w:rsidRDefault="00BC635C" w:rsidP="00BC635C">
      <w:pPr>
        <w:jc w:val="both"/>
        <w:rPr>
          <w:rFonts w:asciiTheme="minorHAnsi" w:hAnsiTheme="minorHAnsi" w:cstheme="minorHAnsi"/>
          <w:color w:val="FF0000"/>
          <w:lang w:val="hr-HR"/>
        </w:rPr>
      </w:pPr>
    </w:p>
    <w:p w:rsidR="00BC635C" w:rsidRPr="00732F12" w:rsidRDefault="00BC635C" w:rsidP="00BC635C">
      <w:pPr>
        <w:jc w:val="both"/>
        <w:rPr>
          <w:rFonts w:asciiTheme="minorHAnsi" w:hAnsiTheme="minorHAnsi" w:cstheme="minorHAnsi"/>
          <w:color w:val="FF0000"/>
          <w:lang w:val="hr-HR"/>
        </w:rPr>
      </w:pPr>
    </w:p>
    <w:p w:rsidR="000008D5" w:rsidRPr="005503E2" w:rsidRDefault="003E71B6" w:rsidP="00576B2A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03E2">
        <w:rPr>
          <w:rFonts w:asciiTheme="minorHAnsi" w:hAnsiTheme="minorHAnsi" w:cstheme="minorHAnsi"/>
          <w:sz w:val="24"/>
          <w:szCs w:val="24"/>
          <w:lang w:val="sr-Cyrl-RS"/>
        </w:rPr>
        <w:t>У наставку</w:t>
      </w:r>
      <w:r w:rsidR="008E1327"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 су наведени </w:t>
      </w:r>
      <w:r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 неки од значајнијих пројеката </w:t>
      </w:r>
      <w:r w:rsidR="008E1327" w:rsidRPr="005503E2">
        <w:rPr>
          <w:rFonts w:asciiTheme="minorHAnsi" w:hAnsiTheme="minorHAnsi" w:cstheme="minorHAnsi"/>
          <w:sz w:val="24"/>
          <w:szCs w:val="24"/>
          <w:lang w:val="sr-Cyrl-RS"/>
        </w:rPr>
        <w:t>чија је</w:t>
      </w:r>
      <w:r w:rsidR="005503E2"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 имплементација планирана у 2023</w:t>
      </w:r>
      <w:r w:rsidR="008E1327"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. години </w:t>
      </w:r>
      <w:r w:rsidRPr="005503E2">
        <w:rPr>
          <w:rFonts w:asciiTheme="minorHAnsi" w:hAnsiTheme="minorHAnsi" w:cstheme="minorHAnsi"/>
          <w:sz w:val="24"/>
          <w:szCs w:val="24"/>
          <w:lang w:val="sr-Cyrl-RS"/>
        </w:rPr>
        <w:t>у оквиру економског</w:t>
      </w:r>
      <w:r w:rsidR="00576B2A" w:rsidRPr="005503E2">
        <w:rPr>
          <w:rFonts w:asciiTheme="minorHAnsi" w:hAnsiTheme="minorHAnsi" w:cstheme="minorHAnsi"/>
          <w:sz w:val="24"/>
          <w:szCs w:val="24"/>
          <w:lang w:val="sr-Cyrl-RS"/>
        </w:rPr>
        <w:t>, друштвеног и сектора</w:t>
      </w:r>
      <w:r w:rsidR="000008D5" w:rsidRPr="005503E2">
        <w:rPr>
          <w:rFonts w:asciiTheme="minorHAnsi" w:hAnsiTheme="minorHAnsi" w:cstheme="minorHAnsi"/>
          <w:sz w:val="24"/>
          <w:szCs w:val="24"/>
          <w:lang w:val="sr-Cyrl-RS"/>
        </w:rPr>
        <w:t xml:space="preserve"> заштите животне средине.</w:t>
      </w:r>
    </w:p>
    <w:p w:rsidR="00EB754D" w:rsidRPr="005503E2" w:rsidRDefault="00EB754D" w:rsidP="00BC635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6B31D1" w:rsidRPr="00732F12" w:rsidRDefault="006B31D1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6B31D1" w:rsidRPr="00732F12" w:rsidRDefault="006B31D1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6B31D1" w:rsidRPr="00732F12" w:rsidRDefault="006B31D1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6C7BA6" w:rsidRPr="00732F12" w:rsidRDefault="006C7BA6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6C7BA6" w:rsidRPr="00732F12" w:rsidRDefault="006C7BA6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0008D5" w:rsidRPr="00732F12" w:rsidRDefault="000008D5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5503E2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У оквиру економског сектора међу најзначајнијим пројектима су сљедећи пројекти:</w:t>
      </w:r>
    </w:p>
    <w:p w:rsidR="00EB754D" w:rsidRPr="00732F12" w:rsidRDefault="00EB754D" w:rsidP="00BC635C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3E71B6" w:rsidRPr="005503E2" w:rsidRDefault="00EB754D" w:rsidP="003E71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и</w:t>
      </w:r>
      <w:r w:rsidR="003E71B6" w:rsidRPr="005503E2">
        <w:rPr>
          <w:rFonts w:asciiTheme="minorHAnsi" w:hAnsiTheme="minorHAnsi" w:cstheme="minorHAnsi"/>
          <w:b w:val="0"/>
          <w:lang w:val="sr-Cyrl-RS"/>
        </w:rPr>
        <w:t>зградња физичке инфраструктуре у индустријским зонама,</w:t>
      </w:r>
    </w:p>
    <w:p w:rsidR="006B31D1" w:rsidRPr="005503E2" w:rsidRDefault="006B31D1" w:rsidP="003E71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 xml:space="preserve">инфраструктурна подршка предузетништву, </w:t>
      </w:r>
    </w:p>
    <w:p w:rsidR="003E71B6" w:rsidRPr="005503E2" w:rsidRDefault="004519FA" w:rsidP="003E71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п</w:t>
      </w:r>
      <w:r w:rsidR="008E1327" w:rsidRPr="005503E2">
        <w:rPr>
          <w:rFonts w:asciiTheme="minorHAnsi" w:hAnsiTheme="minorHAnsi" w:cstheme="minorHAnsi"/>
          <w:b w:val="0"/>
          <w:lang w:val="sr-Cyrl-RS"/>
        </w:rPr>
        <w:t>ројекти подршке у пољопривреди кроз подршку у производњи поврћа и подизања пластеника, подизању нових засада воћа и повећању сточног фонда,</w:t>
      </w:r>
    </w:p>
    <w:p w:rsidR="008E1327" w:rsidRPr="005503E2" w:rsidRDefault="004519FA" w:rsidP="003E71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п</w:t>
      </w:r>
      <w:r w:rsidR="008E1327" w:rsidRPr="005503E2">
        <w:rPr>
          <w:rFonts w:asciiTheme="minorHAnsi" w:hAnsiTheme="minorHAnsi" w:cstheme="minorHAnsi"/>
          <w:b w:val="0"/>
          <w:lang w:val="sr-Cyrl-RS"/>
        </w:rPr>
        <w:t>ројетки којима се унапређују подстицајне мјере за запошљавање нових радника, самозапошљавање, запошљавање теже запошљивих категорија и запошљавање младих високообразованих кадрова,</w:t>
      </w:r>
    </w:p>
    <w:p w:rsidR="006B31D1" w:rsidRPr="005503E2" w:rsidRDefault="006B31D1" w:rsidP="003E71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пројекти унапређења туристичке инфраструктуре и садржаја</w:t>
      </w:r>
    </w:p>
    <w:p w:rsidR="008E1327" w:rsidRPr="005503E2" w:rsidRDefault="006B31D1" w:rsidP="00046D19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 xml:space="preserve">пројекти </w:t>
      </w:r>
      <w:r w:rsidR="004519FA" w:rsidRPr="005503E2">
        <w:rPr>
          <w:rFonts w:asciiTheme="minorHAnsi" w:hAnsiTheme="minorHAnsi" w:cstheme="minorHAnsi"/>
          <w:b w:val="0"/>
          <w:lang w:val="sr-Cyrl-RS"/>
        </w:rPr>
        <w:t xml:space="preserve">подршке </w:t>
      </w:r>
      <w:r w:rsidR="007E74BE" w:rsidRPr="005503E2">
        <w:rPr>
          <w:rFonts w:asciiTheme="minorHAnsi" w:hAnsiTheme="minorHAnsi" w:cstheme="minorHAnsi"/>
          <w:b w:val="0"/>
          <w:lang w:val="sr-Cyrl-RS"/>
        </w:rPr>
        <w:t xml:space="preserve">у металопрерађивачкој, </w:t>
      </w:r>
      <w:r w:rsidR="000008D5" w:rsidRPr="005503E2">
        <w:rPr>
          <w:rFonts w:asciiTheme="minorHAnsi" w:hAnsiTheme="minorHAnsi" w:cstheme="minorHAnsi"/>
          <w:b w:val="0"/>
          <w:lang w:val="sr-Cyrl-RS"/>
        </w:rPr>
        <w:t>дрвопрерађивачкој, прехрамбеној, елект</w:t>
      </w:r>
      <w:r w:rsidR="00046D19" w:rsidRPr="005503E2">
        <w:rPr>
          <w:rFonts w:asciiTheme="minorHAnsi" w:hAnsiTheme="minorHAnsi" w:cstheme="minorHAnsi"/>
          <w:b w:val="0"/>
          <w:lang w:val="sr-Cyrl-RS"/>
        </w:rPr>
        <w:t>р</w:t>
      </w:r>
      <w:r w:rsidR="000008D5" w:rsidRPr="005503E2">
        <w:rPr>
          <w:rFonts w:asciiTheme="minorHAnsi" w:hAnsiTheme="minorHAnsi" w:cstheme="minorHAnsi"/>
          <w:b w:val="0"/>
          <w:lang w:val="sr-Cyrl-RS"/>
        </w:rPr>
        <w:t>о и другим индустријама.</w:t>
      </w:r>
    </w:p>
    <w:p w:rsidR="00EB754D" w:rsidRPr="00732F12" w:rsidRDefault="00EB754D" w:rsidP="00EB754D">
      <w:pPr>
        <w:pStyle w:val="ListParagraph"/>
        <w:ind w:left="1080"/>
        <w:jc w:val="both"/>
        <w:rPr>
          <w:rFonts w:asciiTheme="minorHAnsi" w:hAnsiTheme="minorHAnsi" w:cstheme="minorHAnsi"/>
          <w:color w:val="FF0000"/>
          <w:lang w:val="sr-Cyrl-RS"/>
        </w:rPr>
      </w:pPr>
    </w:p>
    <w:p w:rsidR="000008D5" w:rsidRPr="005503E2" w:rsidRDefault="000008D5" w:rsidP="000008D5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03E2">
        <w:rPr>
          <w:rFonts w:asciiTheme="minorHAnsi" w:hAnsiTheme="minorHAnsi" w:cstheme="minorHAnsi"/>
          <w:sz w:val="24"/>
          <w:szCs w:val="24"/>
          <w:lang w:val="sr-Cyrl-RS"/>
        </w:rPr>
        <w:t>У оквиру друштвеног сектора међу најзначајнијим пројектима су сљедећи пројекти:</w:t>
      </w:r>
    </w:p>
    <w:p w:rsidR="000008D5" w:rsidRPr="00732F12" w:rsidRDefault="000008D5" w:rsidP="00EB754D">
      <w:pPr>
        <w:jc w:val="both"/>
        <w:rPr>
          <w:rFonts w:asciiTheme="minorHAnsi" w:hAnsiTheme="minorHAnsi" w:cstheme="minorHAnsi"/>
          <w:color w:val="FF0000"/>
          <w:lang w:val="sr-Cyrl-RS"/>
        </w:rPr>
      </w:pPr>
    </w:p>
    <w:p w:rsidR="00EB754D" w:rsidRPr="005503E2" w:rsidRDefault="00EB754D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реконструкција домова културе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 xml:space="preserve"> и објеката у власништву Града</w:t>
      </w:r>
      <w:r w:rsidRPr="005503E2">
        <w:rPr>
          <w:rFonts w:asciiTheme="minorHAnsi" w:hAnsiTheme="minorHAnsi" w:cstheme="minorHAnsi"/>
          <w:b w:val="0"/>
          <w:lang w:val="sr-Cyrl-RS"/>
        </w:rPr>
        <w:t>,</w:t>
      </w:r>
    </w:p>
    <w:p w:rsidR="00EC70F8" w:rsidRPr="005503E2" w:rsidRDefault="00EC70F8" w:rsidP="002E0AD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рекострукција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 xml:space="preserve"> и изградња</w:t>
      </w:r>
      <w:r w:rsidRPr="005503E2">
        <w:rPr>
          <w:rFonts w:asciiTheme="minorHAnsi" w:hAnsiTheme="minorHAnsi" w:cstheme="minorHAnsi"/>
          <w:b w:val="0"/>
          <w:lang w:val="sr-Cyrl-RS"/>
        </w:rPr>
        <w:t xml:space="preserve"> објеката </w:t>
      </w:r>
      <w:r w:rsidR="00046D19" w:rsidRPr="005503E2">
        <w:rPr>
          <w:rFonts w:asciiTheme="minorHAnsi" w:hAnsiTheme="minorHAnsi" w:cstheme="minorHAnsi"/>
          <w:b w:val="0"/>
          <w:lang w:val="sr-Cyrl-RS"/>
        </w:rPr>
        <w:t>предшколског и основног образовања</w:t>
      </w:r>
      <w:r w:rsidRPr="005503E2">
        <w:rPr>
          <w:rFonts w:asciiTheme="minorHAnsi" w:hAnsiTheme="minorHAnsi" w:cstheme="minorHAnsi"/>
          <w:b w:val="0"/>
          <w:lang w:val="sr-Cyrl-RS"/>
        </w:rPr>
        <w:t>,</w:t>
      </w:r>
    </w:p>
    <w:p w:rsidR="00EB754D" w:rsidRPr="005503E2" w:rsidRDefault="00EB754D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пројекти унапређења културних активности,</w:t>
      </w:r>
    </w:p>
    <w:p w:rsidR="00EB754D" w:rsidRPr="005503E2" w:rsidRDefault="00EB754D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 xml:space="preserve">изградња дистрибутивне мреже у насељима водоводног подсистема 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 xml:space="preserve">                            </w:t>
      </w:r>
      <w:r w:rsidRPr="005503E2">
        <w:rPr>
          <w:rFonts w:asciiTheme="minorHAnsi" w:hAnsiTheme="minorHAnsi" w:cstheme="minorHAnsi"/>
          <w:b w:val="0"/>
          <w:lang w:val="sr-Cyrl-RS"/>
        </w:rPr>
        <w:t>„ Црно врело“,</w:t>
      </w:r>
    </w:p>
    <w:p w:rsidR="00EB754D" w:rsidRPr="005503E2" w:rsidRDefault="00EB754D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реконструкција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 xml:space="preserve"> и проширење</w:t>
      </w:r>
      <w:r w:rsidRPr="005503E2">
        <w:rPr>
          <w:rFonts w:asciiTheme="minorHAnsi" w:hAnsiTheme="minorHAnsi" w:cstheme="minorHAnsi"/>
          <w:b w:val="0"/>
          <w:lang w:val="sr-Cyrl-RS"/>
        </w:rPr>
        <w:t xml:space="preserve"> постојеће водоводне  мреже,</w:t>
      </w:r>
    </w:p>
    <w:p w:rsidR="00EB754D" w:rsidRPr="005503E2" w:rsidRDefault="00EB754D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 xml:space="preserve">пројекти реконструкције и изградње 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>НН мрежа.</w:t>
      </w:r>
    </w:p>
    <w:p w:rsidR="003E71B6" w:rsidRPr="00732F12" w:rsidRDefault="003E71B6" w:rsidP="00BC635C">
      <w:pPr>
        <w:jc w:val="both"/>
        <w:rPr>
          <w:rFonts w:asciiTheme="minorHAnsi" w:hAnsiTheme="minorHAnsi" w:cstheme="minorHAnsi"/>
          <w:color w:val="FF0000"/>
          <w:lang w:val="hr-HR"/>
        </w:rPr>
      </w:pPr>
    </w:p>
    <w:p w:rsidR="00EB754D" w:rsidRPr="005503E2" w:rsidRDefault="00EB754D" w:rsidP="00EB754D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03E2">
        <w:rPr>
          <w:rFonts w:asciiTheme="minorHAnsi" w:hAnsiTheme="minorHAnsi" w:cstheme="minorHAnsi"/>
          <w:sz w:val="24"/>
          <w:szCs w:val="24"/>
          <w:lang w:val="sr-Cyrl-RS"/>
        </w:rPr>
        <w:t>У оквиру сектора заштите животне средине  међу најзначајнијим пројектима су сљедећи пројекти:</w:t>
      </w:r>
    </w:p>
    <w:p w:rsidR="00EB754D" w:rsidRPr="005503E2" w:rsidRDefault="00932ACE" w:rsidP="00EB75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у</w:t>
      </w:r>
      <w:r w:rsidR="00EB754D" w:rsidRPr="005503E2">
        <w:rPr>
          <w:rFonts w:asciiTheme="minorHAnsi" w:hAnsiTheme="minorHAnsi" w:cstheme="minorHAnsi"/>
          <w:b w:val="0"/>
          <w:lang w:val="sr-Cyrl-RS"/>
        </w:rPr>
        <w:t>ређење корита ријеке Милошевице на потезу од магистралног пута до ушћа у ријеку Гомјеницу,</w:t>
      </w:r>
    </w:p>
    <w:p w:rsidR="00932ACE" w:rsidRPr="005503E2" w:rsidRDefault="00932ACE" w:rsidP="00932AC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реконструкција и доградња градског канализационог система,</w:t>
      </w:r>
    </w:p>
    <w:p w:rsidR="00EB754D" w:rsidRPr="005503E2" w:rsidRDefault="00932ACE" w:rsidP="002604E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lang w:val="sr-Cyrl-RS"/>
        </w:rPr>
      </w:pPr>
      <w:r w:rsidRPr="005503E2">
        <w:rPr>
          <w:rFonts w:asciiTheme="minorHAnsi" w:hAnsiTheme="minorHAnsi" w:cstheme="minorHAnsi"/>
          <w:b w:val="0"/>
          <w:lang w:val="sr-Cyrl-RS"/>
        </w:rPr>
        <w:t>реконструкција</w:t>
      </w:r>
      <w:r w:rsidR="00E505D2" w:rsidRPr="005503E2">
        <w:rPr>
          <w:rFonts w:asciiTheme="minorHAnsi" w:hAnsiTheme="minorHAnsi" w:cstheme="minorHAnsi"/>
          <w:b w:val="0"/>
          <w:lang w:val="sr-Cyrl-RS"/>
        </w:rPr>
        <w:t xml:space="preserve"> вреловодне и толоводне мреже града Приједора</w:t>
      </w:r>
      <w:r w:rsidR="005503E2" w:rsidRPr="005503E2">
        <w:rPr>
          <w:rFonts w:asciiTheme="minorHAnsi" w:hAnsiTheme="minorHAnsi" w:cstheme="minorHAnsi"/>
          <w:b w:val="0"/>
          <w:lang w:val="sr-Cyrl-RS"/>
        </w:rPr>
        <w:t>.</w:t>
      </w:r>
      <w:r w:rsidR="00E505D2" w:rsidRPr="005503E2">
        <w:rPr>
          <w:rFonts w:asciiTheme="minorHAnsi" w:hAnsiTheme="minorHAnsi" w:cstheme="minorHAnsi"/>
          <w:b w:val="0"/>
          <w:lang w:val="sr-Cyrl-RS"/>
        </w:rPr>
        <w:t xml:space="preserve"> </w:t>
      </w:r>
    </w:p>
    <w:p w:rsidR="005815D3" w:rsidRPr="00732F12" w:rsidRDefault="005815D3" w:rsidP="005815D3">
      <w:pPr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8E4B5C" w:rsidRPr="00732F12" w:rsidRDefault="008E4B5C" w:rsidP="004519FA">
      <w:pPr>
        <w:ind w:firstLine="708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</w:pPr>
    </w:p>
    <w:p w:rsidR="004519FA" w:rsidRPr="005503E2" w:rsidRDefault="004519FA" w:rsidP="0047252A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 прилогу </w:t>
      </w:r>
      <w:r w:rsidR="0047252A"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>овог документа</w:t>
      </w:r>
      <w:r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налази се</w:t>
      </w:r>
      <w:r w:rsidR="0047252A"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табеларни приказ пројеката </w:t>
      </w:r>
      <w:r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>План</w:t>
      </w:r>
      <w:r w:rsidR="0047252A"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>а</w:t>
      </w:r>
      <w:r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2E0ADA"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имплементације </w:t>
      </w:r>
      <w:r w:rsidR="005503E2" w:rsidRPr="005503E2">
        <w:rPr>
          <w:rFonts w:asciiTheme="minorHAnsi" w:hAnsiTheme="minorHAnsi" w:cstheme="minorHAnsi"/>
          <w:b/>
          <w:sz w:val="24"/>
          <w:szCs w:val="24"/>
          <w:lang w:val="sr-Cyrl-RS"/>
        </w:rPr>
        <w:t>Интегралне стратегије развоја града Приједора 2014.-2024. за                 2023. годину.</w:t>
      </w:r>
    </w:p>
    <w:p w:rsidR="003E71B6" w:rsidRPr="005503E2" w:rsidRDefault="003E71B6" w:rsidP="007C5C60">
      <w:pPr>
        <w:ind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:rsidR="005815D3" w:rsidRPr="00F561A1" w:rsidRDefault="005815D3" w:rsidP="00932ACE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5815D3" w:rsidRPr="00F561A1" w:rsidRDefault="005815D3" w:rsidP="00932ACE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F561A1" w:rsidRPr="00F561A1" w:rsidRDefault="00321C25" w:rsidP="00932ACE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F561A1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ОБРАЂИВАЧ </w:t>
      </w:r>
      <w:r w:rsidR="003E71B6" w:rsidRPr="00F561A1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                                       </w:t>
      </w:r>
      <w:r w:rsidR="00F561A1" w:rsidRPr="00F561A1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</w:t>
      </w:r>
      <w:r w:rsidR="003E71B6" w:rsidRPr="00F561A1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</w:t>
      </w:r>
      <w:r w:rsidR="00F561A1" w:rsidRPr="00F561A1">
        <w:rPr>
          <w:rFonts w:asciiTheme="minorHAnsi" w:hAnsiTheme="minorHAnsi" w:cstheme="minorHAnsi"/>
          <w:b/>
          <w:sz w:val="24"/>
          <w:szCs w:val="24"/>
          <w:lang w:val="sr-Cyrl-RS"/>
        </w:rPr>
        <w:t>ШЕФ ОДСЈЕКА</w:t>
      </w:r>
    </w:p>
    <w:p w:rsidR="003E71B6" w:rsidRPr="008833BF" w:rsidRDefault="00F561A1" w:rsidP="00932ACE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8833BF">
        <w:rPr>
          <w:rFonts w:asciiTheme="minorHAnsi" w:hAnsiTheme="minorHAnsi" w:cstheme="minorHAnsi"/>
          <w:sz w:val="24"/>
          <w:szCs w:val="24"/>
          <w:lang w:val="sr-Cyrl-RS"/>
        </w:rPr>
        <w:t>Одсјек за стартешко планирање,</w:t>
      </w:r>
      <w:r w:rsidR="003E71B6"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</w:t>
      </w:r>
      <w:r w:rsidR="00932ACE"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       </w:t>
      </w:r>
      <w:r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r w:rsid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управљање пројектима и развојем                                  </w:t>
      </w:r>
      <w:r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</w:t>
      </w:r>
      <w:r w:rsidR="008833B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</w:t>
      </w:r>
      <w:r w:rsidRPr="008833BF">
        <w:rPr>
          <w:rFonts w:asciiTheme="minorHAnsi" w:hAnsiTheme="minorHAnsi" w:cstheme="minorHAnsi"/>
          <w:sz w:val="24"/>
          <w:szCs w:val="24"/>
          <w:lang w:val="sr-Cyrl-RS"/>
        </w:rPr>
        <w:t>_____________________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                         </w:t>
      </w:r>
      <w:r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    </w:t>
      </w:r>
      <w:r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</w:t>
      </w:r>
      <w:r w:rsidR="00932ACE"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                                   </w:t>
      </w:r>
      <w:r w:rsidR="00321C25" w:rsidRPr="008833BF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:rsidR="003E71B6" w:rsidRPr="008833BF" w:rsidRDefault="00F561A1" w:rsidP="00932ACE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Зинајда Хошић, дипл. ецц.</w:t>
      </w:r>
      <w:r w:rsidR="002E0ADA" w:rsidRPr="008833BF">
        <w:rPr>
          <w:rFonts w:asciiTheme="minorHAnsi" w:hAnsiTheme="minorHAnsi" w:cstheme="minorHAnsi"/>
          <w:sz w:val="24"/>
          <w:szCs w:val="24"/>
          <w:lang w:val="sr-Cyrl-RS"/>
        </w:rPr>
        <w:t xml:space="preserve">   </w:t>
      </w:r>
    </w:p>
    <w:sectPr w:rsidR="003E71B6" w:rsidRPr="008833BF" w:rsidSect="00E4484B">
      <w:footerReference w:type="default" r:id="rId11"/>
      <w:type w:val="continuous"/>
      <w:pgSz w:w="11906" w:h="16838"/>
      <w:pgMar w:top="1417" w:right="1134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DF" w:rsidRDefault="00A60BDF" w:rsidP="00EC32BA">
      <w:r>
        <w:separator/>
      </w:r>
    </w:p>
  </w:endnote>
  <w:endnote w:type="continuationSeparator" w:id="0">
    <w:p w:rsidR="00A60BDF" w:rsidRDefault="00A60BDF" w:rsidP="00E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4B" w:rsidRDefault="00E4484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33B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F14AD" w:rsidRDefault="00FF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44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84B" w:rsidRDefault="00E44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84B" w:rsidRDefault="00E44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097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84B" w:rsidRDefault="00E44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3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484B" w:rsidRDefault="00E4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DF" w:rsidRDefault="00A60BDF" w:rsidP="00EC32BA">
      <w:r>
        <w:separator/>
      </w:r>
    </w:p>
  </w:footnote>
  <w:footnote w:type="continuationSeparator" w:id="0">
    <w:p w:rsidR="00A60BDF" w:rsidRDefault="00A60BDF" w:rsidP="00EC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54"/>
    <w:multiLevelType w:val="hybridMultilevel"/>
    <w:tmpl w:val="8A927F40"/>
    <w:lvl w:ilvl="0" w:tplc="4986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E5E"/>
    <w:multiLevelType w:val="hybridMultilevel"/>
    <w:tmpl w:val="4A18D982"/>
    <w:lvl w:ilvl="0" w:tplc="9D80E8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186667"/>
    <w:multiLevelType w:val="hybridMultilevel"/>
    <w:tmpl w:val="B2C2727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9C0999"/>
    <w:multiLevelType w:val="multilevel"/>
    <w:tmpl w:val="B070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22328"/>
    <w:multiLevelType w:val="multilevel"/>
    <w:tmpl w:val="F2FE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FB0E09"/>
    <w:multiLevelType w:val="hybridMultilevel"/>
    <w:tmpl w:val="E85C97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ED0CCA"/>
    <w:multiLevelType w:val="hybridMultilevel"/>
    <w:tmpl w:val="736EE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E0D"/>
    <w:multiLevelType w:val="multilevel"/>
    <w:tmpl w:val="3B1E7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707B33"/>
    <w:multiLevelType w:val="hybridMultilevel"/>
    <w:tmpl w:val="F1C49F34"/>
    <w:lvl w:ilvl="0" w:tplc="68EA50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542BCA"/>
    <w:multiLevelType w:val="hybridMultilevel"/>
    <w:tmpl w:val="4FA019CA"/>
    <w:lvl w:ilvl="0" w:tplc="AE4C4E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47F"/>
    <w:multiLevelType w:val="multilevel"/>
    <w:tmpl w:val="57421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902E7D"/>
    <w:multiLevelType w:val="hybridMultilevel"/>
    <w:tmpl w:val="6FCA3638"/>
    <w:lvl w:ilvl="0" w:tplc="AE4C4E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0AA"/>
    <w:multiLevelType w:val="hybridMultilevel"/>
    <w:tmpl w:val="DCF8AB54"/>
    <w:lvl w:ilvl="0" w:tplc="BDBEB6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066E1F"/>
    <w:multiLevelType w:val="hybridMultilevel"/>
    <w:tmpl w:val="78E41D30"/>
    <w:lvl w:ilvl="0" w:tplc="E856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C0457"/>
    <w:multiLevelType w:val="hybridMultilevel"/>
    <w:tmpl w:val="37DAFAFC"/>
    <w:lvl w:ilvl="0" w:tplc="AE4C4E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960F8"/>
    <w:multiLevelType w:val="hybridMultilevel"/>
    <w:tmpl w:val="EE96A1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643E2D"/>
    <w:multiLevelType w:val="hybridMultilevel"/>
    <w:tmpl w:val="6040D2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24FD"/>
    <w:multiLevelType w:val="multilevel"/>
    <w:tmpl w:val="9AEE1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757F2C"/>
    <w:multiLevelType w:val="hybridMultilevel"/>
    <w:tmpl w:val="3FAE8A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C"/>
    <w:rsid w:val="000008D5"/>
    <w:rsid w:val="00010D9B"/>
    <w:rsid w:val="00036AC2"/>
    <w:rsid w:val="00046D19"/>
    <w:rsid w:val="00051ABC"/>
    <w:rsid w:val="00067182"/>
    <w:rsid w:val="00071828"/>
    <w:rsid w:val="000A5869"/>
    <w:rsid w:val="000E124A"/>
    <w:rsid w:val="000E147B"/>
    <w:rsid w:val="000E334C"/>
    <w:rsid w:val="001316AA"/>
    <w:rsid w:val="00140084"/>
    <w:rsid w:val="00147EE4"/>
    <w:rsid w:val="001B7049"/>
    <w:rsid w:val="001D4D0D"/>
    <w:rsid w:val="001E17EF"/>
    <w:rsid w:val="00237351"/>
    <w:rsid w:val="002604E4"/>
    <w:rsid w:val="00272293"/>
    <w:rsid w:val="002836D7"/>
    <w:rsid w:val="002A3EC3"/>
    <w:rsid w:val="002B4161"/>
    <w:rsid w:val="002B449D"/>
    <w:rsid w:val="002E0ADA"/>
    <w:rsid w:val="00321C25"/>
    <w:rsid w:val="003779C5"/>
    <w:rsid w:val="00386564"/>
    <w:rsid w:val="003C623F"/>
    <w:rsid w:val="003E4E7D"/>
    <w:rsid w:val="003E71B6"/>
    <w:rsid w:val="003E733D"/>
    <w:rsid w:val="0040776E"/>
    <w:rsid w:val="00435D50"/>
    <w:rsid w:val="004415A8"/>
    <w:rsid w:val="004519FA"/>
    <w:rsid w:val="0045758B"/>
    <w:rsid w:val="0047252A"/>
    <w:rsid w:val="004857FC"/>
    <w:rsid w:val="004B105E"/>
    <w:rsid w:val="004B1A5F"/>
    <w:rsid w:val="004C1D4B"/>
    <w:rsid w:val="004E347B"/>
    <w:rsid w:val="004F1959"/>
    <w:rsid w:val="004F2EF2"/>
    <w:rsid w:val="00504A6B"/>
    <w:rsid w:val="0053076F"/>
    <w:rsid w:val="005503E2"/>
    <w:rsid w:val="00576B2A"/>
    <w:rsid w:val="005815D3"/>
    <w:rsid w:val="00617E24"/>
    <w:rsid w:val="00631719"/>
    <w:rsid w:val="0064267B"/>
    <w:rsid w:val="00644146"/>
    <w:rsid w:val="00684962"/>
    <w:rsid w:val="00697A1C"/>
    <w:rsid w:val="006B31D1"/>
    <w:rsid w:val="006B4F39"/>
    <w:rsid w:val="006C7BA6"/>
    <w:rsid w:val="006F39FE"/>
    <w:rsid w:val="00717F2A"/>
    <w:rsid w:val="00732F12"/>
    <w:rsid w:val="00737275"/>
    <w:rsid w:val="00762144"/>
    <w:rsid w:val="007650F6"/>
    <w:rsid w:val="00772658"/>
    <w:rsid w:val="0078000C"/>
    <w:rsid w:val="007B01CB"/>
    <w:rsid w:val="007C5C60"/>
    <w:rsid w:val="007E74BE"/>
    <w:rsid w:val="007F205E"/>
    <w:rsid w:val="0081670A"/>
    <w:rsid w:val="008267A9"/>
    <w:rsid w:val="00834343"/>
    <w:rsid w:val="00835415"/>
    <w:rsid w:val="008428EC"/>
    <w:rsid w:val="0085212A"/>
    <w:rsid w:val="008833BF"/>
    <w:rsid w:val="00885156"/>
    <w:rsid w:val="0089562C"/>
    <w:rsid w:val="008B0DAB"/>
    <w:rsid w:val="008C1462"/>
    <w:rsid w:val="008D4349"/>
    <w:rsid w:val="008E1327"/>
    <w:rsid w:val="008E4B5C"/>
    <w:rsid w:val="009036C9"/>
    <w:rsid w:val="0090499F"/>
    <w:rsid w:val="009146C2"/>
    <w:rsid w:val="0092069E"/>
    <w:rsid w:val="00932ACE"/>
    <w:rsid w:val="00987BE3"/>
    <w:rsid w:val="00994F39"/>
    <w:rsid w:val="009E1597"/>
    <w:rsid w:val="009E787B"/>
    <w:rsid w:val="009F04BD"/>
    <w:rsid w:val="009F7DAE"/>
    <w:rsid w:val="00A60BDF"/>
    <w:rsid w:val="00A82C70"/>
    <w:rsid w:val="00AF6EBA"/>
    <w:rsid w:val="00AF763E"/>
    <w:rsid w:val="00B21767"/>
    <w:rsid w:val="00B431E3"/>
    <w:rsid w:val="00B55B2B"/>
    <w:rsid w:val="00B65048"/>
    <w:rsid w:val="00B7071D"/>
    <w:rsid w:val="00BB2E76"/>
    <w:rsid w:val="00BB4E29"/>
    <w:rsid w:val="00BC635C"/>
    <w:rsid w:val="00C002DF"/>
    <w:rsid w:val="00C0146C"/>
    <w:rsid w:val="00C227AD"/>
    <w:rsid w:val="00C403EF"/>
    <w:rsid w:val="00C445F7"/>
    <w:rsid w:val="00C611A1"/>
    <w:rsid w:val="00CA2FF2"/>
    <w:rsid w:val="00CA40EF"/>
    <w:rsid w:val="00CF6BC0"/>
    <w:rsid w:val="00D46755"/>
    <w:rsid w:val="00D60980"/>
    <w:rsid w:val="00D66EA6"/>
    <w:rsid w:val="00D92720"/>
    <w:rsid w:val="00DB0D98"/>
    <w:rsid w:val="00DB5A6E"/>
    <w:rsid w:val="00DE2E0E"/>
    <w:rsid w:val="00DF263E"/>
    <w:rsid w:val="00E1388F"/>
    <w:rsid w:val="00E4484B"/>
    <w:rsid w:val="00E505D2"/>
    <w:rsid w:val="00E74781"/>
    <w:rsid w:val="00E92FC2"/>
    <w:rsid w:val="00EB0E73"/>
    <w:rsid w:val="00EB754D"/>
    <w:rsid w:val="00EC2D27"/>
    <w:rsid w:val="00EC32BA"/>
    <w:rsid w:val="00EC70F8"/>
    <w:rsid w:val="00EF0CE3"/>
    <w:rsid w:val="00F25A61"/>
    <w:rsid w:val="00F30216"/>
    <w:rsid w:val="00F40D35"/>
    <w:rsid w:val="00F423A2"/>
    <w:rsid w:val="00F50DE4"/>
    <w:rsid w:val="00F561A1"/>
    <w:rsid w:val="00F63E00"/>
    <w:rsid w:val="00FD7453"/>
    <w:rsid w:val="00FE308B"/>
    <w:rsid w:val="00FF14AD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C2D0"/>
  <w15:docId w15:val="{35770138-62D7-4929-9591-5DDB28F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D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2BA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758B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5758B"/>
    <w:pPr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758B"/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8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758B"/>
  </w:style>
  <w:style w:type="paragraph" w:styleId="ListParagraph">
    <w:name w:val="List Paragraph"/>
    <w:basedOn w:val="Normal"/>
    <w:link w:val="ListParagraphChar"/>
    <w:uiPriority w:val="34"/>
    <w:qFormat/>
    <w:rsid w:val="00BC635C"/>
    <w:pPr>
      <w:ind w:left="720"/>
      <w:contextualSpacing/>
      <w:jc w:val="center"/>
    </w:pPr>
    <w:rPr>
      <w:rFonts w:eastAsia="Lucida Sans Unicode"/>
      <w:b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C635C"/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jdah\Desktop\MEMORANDUM%20GRADONAC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BC33-3B18-41C1-AD6C-3DFE309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GRADONACELNIK</Template>
  <TotalTime>498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Vuckovac</dc:creator>
  <cp:lastModifiedBy>Svetozar Vuckovac</cp:lastModifiedBy>
  <cp:revision>58</cp:revision>
  <cp:lastPrinted>2018-12-05T09:09:00Z</cp:lastPrinted>
  <dcterms:created xsi:type="dcterms:W3CDTF">2018-01-29T12:03:00Z</dcterms:created>
  <dcterms:modified xsi:type="dcterms:W3CDTF">2023-02-14T10:26:00Z</dcterms:modified>
</cp:coreProperties>
</file>